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rFonts w:hint="default" w:eastAsia="宋体"/>
          <w:sz w:val="22"/>
          <w:szCs w:val="22"/>
          <w:lang w:val="en-US"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#106bis-e</w:t>
      </w:r>
      <w:r>
        <w:rPr>
          <w:rFonts w:ascii="Arial" w:hAnsi="Arial" w:cs="Arial"/>
          <w:b/>
          <w:sz w:val="22"/>
          <w:szCs w:val="22"/>
        </w:rPr>
        <w:tab/>
      </w:r>
      <w:r>
        <w:rPr>
          <w:rFonts w:ascii="Arial" w:hAnsi="Arial" w:cs="Arial"/>
          <w:b/>
          <w:sz w:val="22"/>
          <w:szCs w:val="22"/>
        </w:rPr>
        <w:t>R1-2108</w:t>
      </w:r>
      <w:r>
        <w:rPr>
          <w:rFonts w:hint="eastAsia" w:ascii="Arial" w:hAnsi="Arial" w:cs="Arial"/>
          <w:b/>
          <w:sz w:val="22"/>
          <w:szCs w:val="22"/>
          <w:lang w:val="en-US" w:eastAsia="zh-CN"/>
        </w:rPr>
        <w:t>940</w:t>
      </w:r>
    </w:p>
    <w:p>
      <w:pPr>
        <w:tabs>
          <w:tab w:val="right" w:pos="9630"/>
        </w:tabs>
        <w:spacing w:after="0"/>
        <w:rPr>
          <w:rFonts w:ascii="Arial" w:hAnsi="Arial" w:cs="Arial"/>
          <w:b/>
          <w:sz w:val="22"/>
          <w:szCs w:val="22"/>
        </w:rPr>
      </w:pPr>
      <w:r>
        <w:rPr>
          <w:rFonts w:ascii="Arial" w:hAnsi="Arial" w:cs="Arial"/>
          <w:b/>
          <w:sz w:val="22"/>
          <w:szCs w:val="22"/>
          <w:lang w:eastAsia="zh-CN"/>
        </w:rPr>
        <w:t>e-Meeting, October 11</w:t>
      </w:r>
      <w:r>
        <w:rPr>
          <w:rFonts w:ascii="Arial" w:hAnsi="Arial" w:cs="Arial"/>
          <w:b/>
          <w:sz w:val="22"/>
          <w:szCs w:val="22"/>
          <w:vertAlign w:val="superscript"/>
          <w:lang w:eastAsia="zh-CN"/>
        </w:rPr>
        <w:t>th</w:t>
      </w:r>
      <w:r>
        <w:rPr>
          <w:rFonts w:ascii="Arial" w:hAnsi="Arial" w:cs="Arial"/>
          <w:b/>
          <w:sz w:val="22"/>
          <w:szCs w:val="22"/>
          <w:lang w:eastAsia="zh-CN"/>
        </w:rPr>
        <w:t xml:space="preserve"> – 19</w:t>
      </w:r>
      <w:r>
        <w:rPr>
          <w:rFonts w:ascii="Arial" w:hAnsi="Arial" w:cs="Arial"/>
          <w:b/>
          <w:sz w:val="22"/>
          <w:szCs w:val="22"/>
          <w:vertAlign w:val="superscript"/>
          <w:lang w:eastAsia="zh-CN"/>
        </w:rPr>
        <w:t>th</w:t>
      </w:r>
      <w:r>
        <w:rPr>
          <w:rFonts w:ascii="Arial" w:hAnsi="Arial" w:cs="Arial"/>
          <w:b/>
          <w:sz w:val="22"/>
          <w:szCs w:val="22"/>
          <w:lang w:eastAsia="zh-CN"/>
        </w:rPr>
        <w:t>, 2021</w:t>
      </w:r>
      <w:r>
        <w:rPr>
          <w:rFonts w:ascii="Arial" w:hAnsi="Arial" w:cs="Arial"/>
          <w:b/>
          <w:sz w:val="22"/>
          <w:szCs w:val="22"/>
        </w:rPr>
        <w:tab/>
      </w:r>
    </w:p>
    <w:p>
      <w:pPr>
        <w:pStyle w:val="37"/>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w:t>
      </w:r>
    </w:p>
    <w:p>
      <w:pPr>
        <w:spacing w:after="0"/>
        <w:ind w:left="1988" w:hanging="1988"/>
        <w:rPr>
          <w:rFonts w:hint="default" w:ascii="Arial" w:hAnsi="Arial" w:eastAsia="宋体"/>
          <w:b/>
          <w:lang w:val="en-US" w:eastAsia="zh-CN"/>
        </w:rPr>
      </w:pPr>
      <w:r>
        <w:rPr>
          <w:rFonts w:ascii="Arial" w:hAnsi="Arial"/>
          <w:b/>
        </w:rPr>
        <w:t xml:space="preserve">Title: </w:t>
      </w:r>
      <w:r>
        <w:rPr>
          <w:rFonts w:ascii="Arial" w:hAnsi="Arial"/>
          <w:b/>
        </w:rPr>
        <w:tab/>
      </w:r>
      <w:r>
        <w:rPr>
          <w:rFonts w:ascii="Arial" w:hAnsi="Arial"/>
          <w:b/>
        </w:rPr>
        <w:t xml:space="preserve">Discussion on </w:t>
      </w:r>
      <w:r>
        <w:rPr>
          <w:rFonts w:hint="eastAsia" w:ascii="Arial" w:hAnsi="Arial"/>
          <w:b/>
          <w:lang w:val="en-US" w:eastAsia="zh-CN"/>
        </w:rPr>
        <w:t>RRC parameter</w:t>
      </w:r>
      <w:r>
        <w:rPr>
          <w:rFonts w:ascii="Arial" w:hAnsi="Arial"/>
          <w:b/>
        </w:rPr>
        <w:t xml:space="preserve">s for </w:t>
      </w:r>
      <w:r>
        <w:rPr>
          <w:rFonts w:hint="eastAsia" w:ascii="Arial" w:hAnsi="Arial"/>
          <w:b/>
          <w:lang w:val="en-US" w:eastAsia="zh-CN"/>
        </w:rPr>
        <w:t>52.6 to 71 GHz</w:t>
      </w:r>
    </w:p>
    <w:p>
      <w:pPr>
        <w:tabs>
          <w:tab w:val="left" w:pos="1985"/>
        </w:tabs>
        <w:spacing w:after="0"/>
        <w:rPr>
          <w:rFonts w:hint="eastAsia" w:ascii="Arial" w:hAnsi="Arial" w:eastAsia="宋体"/>
          <w:b/>
          <w:lang w:val="en-US" w:eastAsia="zh-CN"/>
        </w:rPr>
      </w:pPr>
      <w:r>
        <w:rPr>
          <w:rFonts w:ascii="Arial" w:hAnsi="Arial"/>
          <w:b/>
        </w:rPr>
        <w:t>Agenda item:</w:t>
      </w:r>
      <w:r>
        <w:rPr>
          <w:rFonts w:ascii="Arial" w:hAnsi="Arial"/>
          <w:b/>
        </w:rPr>
        <w:tab/>
      </w:r>
      <w:r>
        <w:rPr>
          <w:rFonts w:ascii="Arial" w:hAnsi="Arial"/>
          <w:b/>
        </w:rPr>
        <w:t>8.</w:t>
      </w:r>
      <w:r>
        <w:rPr>
          <w:rFonts w:hint="eastAsia" w:ascii="Arial" w:hAnsi="Arial"/>
          <w:b/>
          <w:lang w:val="en-US" w:eastAsia="zh-CN"/>
        </w:rPr>
        <w:t>2</w:t>
      </w:r>
      <w:r>
        <w:rPr>
          <w:rFonts w:ascii="Arial" w:hAnsi="Arial"/>
          <w:b/>
        </w:rPr>
        <w:t>.</w:t>
      </w:r>
      <w:r>
        <w:rPr>
          <w:rFonts w:hint="eastAsia" w:ascii="Arial" w:hAnsi="Arial"/>
          <w:b/>
          <w:lang w:val="en-US" w:eastAsia="zh-CN"/>
        </w:rPr>
        <w:t>7</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w:t>
      </w:r>
      <w:r>
        <w:rPr>
          <w:rFonts w:hint="eastAsia" w:ascii="Arial" w:hAnsi="Arial"/>
          <w:b/>
          <w:lang w:val="en-US" w:eastAsia="zh-CN"/>
        </w:rPr>
        <w:t xml:space="preserve"> and </w:t>
      </w:r>
      <w:r>
        <w:rPr>
          <w:rFonts w:ascii="Arial" w:hAnsi="Arial"/>
          <w:b/>
        </w:rPr>
        <w:t>Decision</w:t>
      </w:r>
    </w:p>
    <w:p>
      <w:pPr>
        <w:pStyle w:val="2"/>
        <w:textAlignment w:val="auto"/>
      </w:pPr>
      <w:bookmarkStart w:id="2" w:name="_Ref4817"/>
      <w:r>
        <w:t>Introduction</w:t>
      </w:r>
      <w:bookmarkEnd w:id="0"/>
      <w:bookmarkEnd w:id="2"/>
    </w:p>
    <w:p>
      <w:pPr>
        <w:snapToGrid w:val="0"/>
        <w:spacing w:after="120" w:afterLines="50"/>
        <w:rPr>
          <w:lang w:eastAsia="zh-CN"/>
        </w:rPr>
      </w:pPr>
      <w:r>
        <w:rPr>
          <w:rFonts w:hint="eastAsia"/>
          <w:lang w:val="en-US" w:eastAsia="zh-CN"/>
        </w:rPr>
        <w:t xml:space="preserve">In this contribution, we will share our views </w:t>
      </w:r>
      <w:r>
        <w:rPr>
          <w:lang w:val="en-GB" w:eastAsia="zh-CN"/>
        </w:rPr>
        <w:t xml:space="preserve">on </w:t>
      </w:r>
      <w:r>
        <w:rPr>
          <w:rFonts w:hint="eastAsia"/>
          <w:lang w:val="en-US" w:eastAsia="zh-CN"/>
        </w:rPr>
        <w:t>RRC parameter</w:t>
      </w:r>
      <w:r>
        <w:rPr>
          <w:lang w:val="en-GB" w:eastAsia="zh-CN"/>
        </w:rPr>
        <w:t xml:space="preserve">s for </w:t>
      </w:r>
      <w:r>
        <w:rPr>
          <w:rFonts w:hint="eastAsia"/>
          <w:lang w:val="en-GB" w:eastAsia="zh-CN"/>
        </w:rPr>
        <w:t>52.6 to</w:t>
      </w:r>
      <w:r>
        <w:rPr>
          <w:rFonts w:hint="eastAsia"/>
          <w:lang w:val="en-US" w:eastAsia="zh-CN"/>
        </w:rPr>
        <w:t xml:space="preserve"> </w:t>
      </w:r>
      <w:bookmarkStart w:id="3" w:name="_GoBack"/>
      <w:bookmarkEnd w:id="3"/>
      <w:r>
        <w:rPr>
          <w:rFonts w:hint="eastAsia"/>
          <w:lang w:val="en-GB" w:eastAsia="zh-CN"/>
        </w:rPr>
        <w:t>71 GHz</w:t>
      </w:r>
      <w:r>
        <w:rPr>
          <w:lang w:val="en-GB" w:eastAsia="zh-CN"/>
        </w:rPr>
        <w:t xml:space="preserve">. </w:t>
      </w:r>
      <w:r>
        <w:rPr>
          <w:rFonts w:hint="eastAsia"/>
          <w:lang w:val="en-US" w:eastAsia="zh-CN"/>
        </w:rPr>
        <w:t>The preliminary approved</w:t>
      </w:r>
      <w:r>
        <w:rPr>
          <w:lang w:val="en-GB" w:eastAsia="zh-CN"/>
        </w:rPr>
        <w:t xml:space="preserve"> </w:t>
      </w:r>
      <w:r>
        <w:rPr>
          <w:rFonts w:hint="eastAsia"/>
          <w:lang w:val="en-US" w:eastAsia="zh-CN"/>
        </w:rPr>
        <w:t xml:space="preserve">RRC parameters list can be found in </w:t>
      </w:r>
      <w:r>
        <w:rPr>
          <w:lang w:val="en-GB" w:eastAsia="zh-CN"/>
        </w:rPr>
        <w:t>[1].</w:t>
      </w:r>
      <w:r>
        <w:rPr>
          <w:rFonts w:hint="eastAsia"/>
          <w:lang w:val="en-US" w:eastAsia="zh-CN"/>
        </w:rPr>
        <w:t xml:space="preserve"> </w:t>
      </w:r>
    </w:p>
    <w:p>
      <w:pPr>
        <w:pStyle w:val="2"/>
        <w:rPr>
          <w:lang w:eastAsia="zh-CN"/>
        </w:rPr>
      </w:pPr>
      <w:r>
        <w:rPr>
          <w:lang w:eastAsia="zh-CN"/>
        </w:rPr>
        <w:t>Discussion</w:t>
      </w:r>
    </w:p>
    <w:p>
      <w:pPr>
        <w:pStyle w:val="3"/>
        <w:rPr>
          <w:lang w:eastAsia="zh-CN"/>
        </w:rPr>
      </w:pPr>
      <w:r>
        <w:rPr>
          <w:rFonts w:hint="default"/>
          <w:lang w:eastAsia="zh-CN"/>
        </w:rPr>
        <w:t>subCarrierSpacingCommon in MIB</w:t>
      </w:r>
    </w:p>
    <w:p>
      <w:pPr>
        <w:pStyle w:val="32"/>
        <w:spacing w:after="0"/>
        <w:jc w:val="both"/>
        <w:rPr>
          <w:sz w:val="20"/>
          <w:szCs w:val="20"/>
          <w:lang w:eastAsia="zh-CN"/>
        </w:rPr>
      </w:pPr>
      <w:r>
        <w:rPr>
          <w:rFonts w:hint="eastAsia" w:eastAsia="宋体"/>
          <w:sz w:val="20"/>
          <w:szCs w:val="20"/>
          <w:lang w:val="en-US" w:eastAsia="zh-CN"/>
        </w:rPr>
        <w:t xml:space="preserve">In RAN plenary #92 e-meeting, RAN1 has agreed only one </w:t>
      </w:r>
      <w:r>
        <w:rPr>
          <w:rFonts w:hint="eastAsia" w:eastAsia="宋体" w:cs="Times New Roman"/>
          <w:sz w:val="20"/>
          <w:szCs w:val="20"/>
          <w:highlight w:val="none"/>
          <w:lang w:val="en-US" w:eastAsia="zh-CN"/>
        </w:rPr>
        <w:t>CORESTE#0 SCS supported for each SSB SCS, i.e., (120, 120)</w:t>
      </w:r>
      <w:r>
        <w:rPr>
          <w:rFonts w:hint="eastAsia" w:eastAsia="宋体" w:cs="Times New Roman"/>
          <w:sz w:val="20"/>
          <w:szCs w:val="20"/>
          <w:lang w:val="en-US" w:eastAsia="zh-CN"/>
        </w:rPr>
        <w:t xml:space="preserve"> kHz</w:t>
      </w:r>
      <w:r>
        <w:rPr>
          <w:rFonts w:hint="eastAsia" w:eastAsia="宋体" w:cs="Times New Roman"/>
          <w:sz w:val="20"/>
          <w:szCs w:val="20"/>
          <w:highlight w:val="none"/>
          <w:lang w:val="en-US" w:eastAsia="zh-CN"/>
        </w:rPr>
        <w:t xml:space="preserve">, (480, 480) </w:t>
      </w:r>
      <w:r>
        <w:rPr>
          <w:rFonts w:hint="eastAsia" w:eastAsia="宋体" w:cs="Times New Roman"/>
          <w:sz w:val="20"/>
          <w:szCs w:val="20"/>
          <w:lang w:val="en-US" w:eastAsia="zh-CN"/>
        </w:rPr>
        <w:t xml:space="preserve">kHz </w:t>
      </w:r>
      <w:r>
        <w:rPr>
          <w:rFonts w:hint="eastAsia" w:eastAsia="宋体" w:cs="Times New Roman"/>
          <w:sz w:val="20"/>
          <w:szCs w:val="20"/>
          <w:highlight w:val="none"/>
          <w:lang w:val="en-US" w:eastAsia="zh-CN"/>
        </w:rPr>
        <w:t>and (960, 960)</w:t>
      </w:r>
      <w:r>
        <w:rPr>
          <w:rFonts w:hint="eastAsia" w:eastAsia="宋体" w:cs="Times New Roman"/>
          <w:sz w:val="20"/>
          <w:szCs w:val="20"/>
          <w:lang w:val="en-US" w:eastAsia="zh-CN"/>
        </w:rPr>
        <w:t xml:space="preserve"> kHz. In other words, FR2-2 only support CORESTE#0 SCS same as SSB SCS. Therefore, it is not necessary to use </w:t>
      </w:r>
      <w:r>
        <w:rPr>
          <w:rStyle w:val="56"/>
          <w:rFonts w:hint="default" w:ascii="Times New Roman" w:hAnsi="Times New Roman" w:cs="Times New Roman"/>
          <w:i/>
          <w:iCs w:val="0"/>
          <w:caps w:val="0"/>
          <w:color w:val="000000"/>
          <w:spacing w:val="0"/>
          <w:sz w:val="20"/>
          <w:szCs w:val="20"/>
          <w:shd w:val="clear" w:fill="FFFFFF"/>
        </w:rPr>
        <w:t>subCarrierSpacingCommon </w:t>
      </w:r>
      <w:r>
        <w:rPr>
          <w:rFonts w:hint="default" w:ascii="Times New Roman" w:hAnsi="Times New Roman" w:eastAsia="宋体" w:cs="Times New Roman"/>
          <w:i w:val="0"/>
          <w:caps w:val="0"/>
          <w:color w:val="000000"/>
          <w:spacing w:val="0"/>
          <w:sz w:val="20"/>
          <w:szCs w:val="20"/>
          <w:shd w:val="clear" w:fill="FFFFFF"/>
        </w:rPr>
        <w:t xml:space="preserve">in </w:t>
      </w:r>
      <w:r>
        <w:rPr>
          <w:rFonts w:hint="default" w:ascii="Times New Roman" w:hAnsi="Times New Roman" w:eastAsia="宋体" w:cs="Times New Roman"/>
          <w:i/>
          <w:iCs/>
          <w:caps w:val="0"/>
          <w:color w:val="000000"/>
          <w:spacing w:val="0"/>
          <w:sz w:val="20"/>
          <w:szCs w:val="20"/>
          <w:shd w:val="clear" w:fill="FFFFFF"/>
        </w:rPr>
        <w:t>MIB</w:t>
      </w:r>
      <w:r>
        <w:rPr>
          <w:rFonts w:hint="eastAsia" w:eastAsia="宋体" w:cs="Times New Roman"/>
          <w:i/>
          <w:iCs/>
          <w:sz w:val="20"/>
          <w:szCs w:val="20"/>
          <w:lang w:val="en-US" w:eastAsia="zh-CN"/>
        </w:rPr>
        <w:t xml:space="preserve"> </w:t>
      </w:r>
      <w:r>
        <w:rPr>
          <w:rFonts w:hint="eastAsia" w:eastAsia="宋体" w:cs="Times New Roman"/>
          <w:sz w:val="20"/>
          <w:szCs w:val="20"/>
          <w:lang w:val="en-US" w:eastAsia="zh-CN"/>
        </w:rPr>
        <w:t xml:space="preserve">to indicate the SCS of CORESET#0, </w:t>
      </w:r>
      <w:r>
        <w:rPr>
          <w:i/>
          <w:sz w:val="20"/>
          <w:szCs w:val="20"/>
          <w:lang w:eastAsia="sv-SE"/>
        </w:rPr>
        <w:t>SIB1</w:t>
      </w:r>
      <w:r>
        <w:rPr>
          <w:sz w:val="20"/>
          <w:szCs w:val="20"/>
          <w:lang w:eastAsia="sv-SE"/>
        </w:rPr>
        <w:t>, Msg.2/4 for initial access</w:t>
      </w:r>
      <w:r>
        <w:rPr>
          <w:rFonts w:eastAsia="宋体"/>
          <w:sz w:val="20"/>
          <w:szCs w:val="20"/>
          <w:lang w:eastAsia="zh-CN"/>
        </w:rPr>
        <w:t>, paging</w:t>
      </w:r>
      <w:r>
        <w:rPr>
          <w:sz w:val="20"/>
          <w:szCs w:val="20"/>
          <w:lang w:eastAsia="sv-SE"/>
        </w:rPr>
        <w:t xml:space="preserve"> and broadcast SI-messages.</w:t>
      </w:r>
      <w:r>
        <w:rPr>
          <w:rFonts w:hint="eastAsia"/>
          <w:sz w:val="20"/>
          <w:szCs w:val="20"/>
          <w:lang w:val="en-US" w:eastAsia="zh-CN"/>
        </w:rPr>
        <w:t xml:space="preserve"> Although the new function of </w:t>
      </w:r>
      <w:r>
        <w:rPr>
          <w:rStyle w:val="56"/>
          <w:rFonts w:hint="default" w:ascii="Times New Roman" w:hAnsi="Times New Roman" w:cs="Times New Roman"/>
          <w:i/>
          <w:iCs w:val="0"/>
          <w:caps w:val="0"/>
          <w:color w:val="000000"/>
          <w:spacing w:val="0"/>
          <w:sz w:val="20"/>
          <w:szCs w:val="20"/>
          <w:shd w:val="clear" w:fill="FFFFFF"/>
        </w:rPr>
        <w:t>subCarrierSpacingCommon </w:t>
      </w:r>
      <w:r>
        <w:rPr>
          <w:rStyle w:val="56"/>
          <w:rFonts w:hint="eastAsia" w:cs="Times New Roman"/>
          <w:i w:val="0"/>
          <w:iCs/>
          <w:caps w:val="0"/>
          <w:color w:val="000000"/>
          <w:spacing w:val="0"/>
          <w:sz w:val="20"/>
          <w:szCs w:val="20"/>
          <w:shd w:val="clear" w:fill="FFFFFF"/>
          <w:lang w:val="en-US" w:eastAsia="zh-CN"/>
        </w:rPr>
        <w:t>has</w:t>
      </w:r>
      <w:r>
        <w:rPr>
          <w:rFonts w:hint="eastAsia"/>
          <w:iCs/>
          <w:sz w:val="20"/>
          <w:szCs w:val="20"/>
          <w:lang w:val="en-US" w:eastAsia="zh-CN"/>
        </w:rPr>
        <w:t xml:space="preserve"> not been determined, it is clear that its</w:t>
      </w:r>
      <w:r>
        <w:rPr>
          <w:rFonts w:hint="eastAsia"/>
          <w:sz w:val="20"/>
          <w:szCs w:val="20"/>
          <w:lang w:val="en-US" w:eastAsia="zh-CN"/>
        </w:rPr>
        <w:t xml:space="preserve"> field description should be revised for FR2-2.</w:t>
      </w:r>
    </w:p>
    <w:p>
      <w:pPr>
        <w:pStyle w:val="32"/>
        <w:spacing w:after="0"/>
        <w:rPr>
          <w:lang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27" w:type="dxa"/>
          </w:tcPr>
          <w:p>
            <w:pPr>
              <w:pStyle w:val="32"/>
              <w:spacing w:before="120" w:after="0" w:line="280" w:lineRule="atLeast"/>
              <w:rPr>
                <w:vertAlign w:val="baseline"/>
                <w:lang w:eastAsia="zh-CN"/>
              </w:rPr>
            </w:pPr>
          </w:p>
          <w:p>
            <w:pPr>
              <w:spacing w:before="120" w:after="180" w:line="280" w:lineRule="atLeast"/>
              <w:rPr>
                <w:rFonts w:hint="default"/>
                <w:sz w:val="20"/>
                <w:szCs w:val="20"/>
                <w:vertAlign w:val="baseline"/>
                <w:lang w:val="en-US" w:eastAsia="zh-CN"/>
              </w:rPr>
            </w:pPr>
            <w:r>
              <w:rPr>
                <w:rFonts w:ascii="Times New Roman" w:hAnsi="Times New Roman"/>
                <w:sz w:val="20"/>
                <w:szCs w:val="20"/>
                <w:highlight w:val="green"/>
                <w:lang w:eastAsia="zh-CN"/>
              </w:rPr>
              <w:t>Agreement</w:t>
            </w:r>
            <w:r>
              <w:rPr>
                <w:rFonts w:hint="eastAsia" w:ascii="Times New Roman" w:hAnsi="Times New Roman"/>
                <w:sz w:val="20"/>
                <w:szCs w:val="20"/>
                <w:highlight w:val="green"/>
                <w:lang w:val="en-US" w:eastAsia="zh-CN"/>
              </w:rPr>
              <w:t xml:space="preserve"> in RAN#92-e, June 14-18, 2021</w:t>
            </w:r>
          </w:p>
          <w:p>
            <w:pPr>
              <w:pStyle w:val="32"/>
              <w:overflowPunct w:val="0"/>
              <w:autoSpaceDE w:val="0"/>
              <w:autoSpaceDN w:val="0"/>
              <w:adjustRightInd w:val="0"/>
              <w:spacing w:before="120" w:after="0" w:line="259" w:lineRule="auto"/>
              <w:textAlignment w:val="baseline"/>
              <w:rPr>
                <w:rFonts w:eastAsia="Yu Mincho" w:cs="Times"/>
                <w:sz w:val="20"/>
                <w:szCs w:val="20"/>
                <w:lang w:eastAsia="zh-CN"/>
              </w:rPr>
            </w:pPr>
            <w:r>
              <w:rPr>
                <w:rFonts w:eastAsia="Yu Mincho" w:cs="Times"/>
                <w:sz w:val="20"/>
                <w:szCs w:val="20"/>
                <w:lang w:eastAsia="zh-CN"/>
              </w:rPr>
              <w:t>Support ANR and PCI confusion detection for 120, 480 and 960kHz SCS based SSB, support CORESET#0/</w:t>
            </w:r>
            <w:r>
              <w:rPr>
                <w:rFonts w:hint="eastAsia" w:eastAsia="Yu Mincho" w:cs="Times"/>
                <w:sz w:val="20"/>
                <w:szCs w:val="20"/>
                <w:lang w:val="en-US" w:eastAsia="zh-CN"/>
              </w:rPr>
              <w:t xml:space="preserve"> </w:t>
            </w:r>
            <w:r>
              <w:rPr>
                <w:rFonts w:eastAsia="Yu Mincho" w:cs="Times"/>
                <w:sz w:val="20"/>
                <w:szCs w:val="20"/>
                <w:lang w:eastAsia="zh-CN"/>
              </w:rPr>
              <w:t>Type0-PDCCH configuration in MIB of 120, 480 and 960kHz SSB</w:t>
            </w:r>
          </w:p>
          <w:p>
            <w:pPr>
              <w:pStyle w:val="32"/>
              <w:numPr>
                <w:ilvl w:val="0"/>
                <w:numId w:val="9"/>
              </w:numPr>
              <w:overflowPunct w:val="0"/>
              <w:autoSpaceDE w:val="0"/>
              <w:autoSpaceDN w:val="0"/>
              <w:adjustRightInd w:val="0"/>
              <w:spacing w:before="120" w:after="0" w:line="259" w:lineRule="auto"/>
              <w:ind w:left="644"/>
              <w:jc w:val="both"/>
              <w:textAlignment w:val="baseline"/>
              <w:rPr>
                <w:rFonts w:eastAsia="Yu Mincho" w:cs="Times"/>
                <w:sz w:val="20"/>
                <w:szCs w:val="20"/>
                <w:lang w:eastAsia="zh-CN"/>
              </w:rPr>
            </w:pPr>
            <w:r>
              <w:rPr>
                <w:rFonts w:eastAsia="Yu Mincho" w:cs="Times"/>
                <w:sz w:val="20"/>
                <w:szCs w:val="20"/>
                <w:lang w:eastAsia="zh-CN"/>
              </w:rPr>
              <w:t>FFS: additional method(s) to enable support to obtain neighbour cell SIB1 contents related to CGI reporting</w:t>
            </w:r>
          </w:p>
          <w:p>
            <w:pPr>
              <w:pStyle w:val="32"/>
              <w:numPr>
                <w:ilvl w:val="0"/>
                <w:numId w:val="9"/>
              </w:numPr>
              <w:overflowPunct w:val="0"/>
              <w:autoSpaceDE w:val="0"/>
              <w:autoSpaceDN w:val="0"/>
              <w:adjustRightInd w:val="0"/>
              <w:spacing w:before="120" w:after="0" w:line="259" w:lineRule="auto"/>
              <w:ind w:left="644"/>
              <w:jc w:val="both"/>
              <w:textAlignment w:val="baseline"/>
              <w:rPr>
                <w:rFonts w:eastAsia="Yu Mincho" w:cs="Times"/>
                <w:sz w:val="20"/>
                <w:szCs w:val="20"/>
                <w:highlight w:val="yellow"/>
                <w:lang w:eastAsia="zh-CN"/>
              </w:rPr>
            </w:pPr>
            <w:r>
              <w:rPr>
                <w:rFonts w:eastAsia="Yu Mincho" w:cs="Times"/>
                <w:sz w:val="20"/>
                <w:szCs w:val="20"/>
                <w:highlight w:val="yellow"/>
                <w:lang w:eastAsia="zh-CN"/>
              </w:rPr>
              <w:t>Only 1 CORESTE#0/Type0-PDCCH SCS supported for each SSB SCS, i.e., (120, 120), (480, 480) and (960, 960).</w:t>
            </w:r>
          </w:p>
          <w:p>
            <w:pPr>
              <w:pStyle w:val="32"/>
              <w:numPr>
                <w:ilvl w:val="0"/>
                <w:numId w:val="9"/>
              </w:numPr>
              <w:overflowPunct w:val="0"/>
              <w:autoSpaceDE w:val="0"/>
              <w:autoSpaceDN w:val="0"/>
              <w:adjustRightInd w:val="0"/>
              <w:spacing w:before="120" w:after="0" w:line="259" w:lineRule="auto"/>
              <w:ind w:left="644"/>
              <w:jc w:val="both"/>
              <w:textAlignment w:val="baseline"/>
              <w:rPr>
                <w:rFonts w:eastAsia="Yu Mincho" w:cs="Times"/>
                <w:sz w:val="20"/>
                <w:szCs w:val="20"/>
                <w:lang w:eastAsia="zh-CN"/>
              </w:rPr>
            </w:pPr>
            <w:r>
              <w:rPr>
                <w:rFonts w:eastAsia="Yu Mincho" w:cs="Times"/>
                <w:sz w:val="20"/>
                <w:szCs w:val="20"/>
                <w:lang w:eastAsia="zh-CN"/>
              </w:rPr>
              <w:t>Prioritize support SSB-CORESET0 multiplexing pattern 1. Other patterns discussed on a best effort basis.</w:t>
            </w:r>
          </w:p>
          <w:p>
            <w:pPr>
              <w:pStyle w:val="32"/>
              <w:numPr>
                <w:ilvl w:val="0"/>
                <w:numId w:val="9"/>
              </w:numPr>
              <w:overflowPunct w:val="0"/>
              <w:autoSpaceDE w:val="0"/>
              <w:autoSpaceDN w:val="0"/>
              <w:adjustRightInd w:val="0"/>
              <w:spacing w:before="120" w:after="0" w:line="259" w:lineRule="auto"/>
              <w:ind w:left="644"/>
              <w:jc w:val="both"/>
              <w:textAlignment w:val="baseline"/>
              <w:rPr>
                <w:rFonts w:eastAsia="Yu Mincho" w:cs="Times"/>
                <w:sz w:val="20"/>
                <w:szCs w:val="20"/>
                <w:lang w:eastAsia="zh-CN"/>
              </w:rPr>
            </w:pPr>
            <w:r>
              <w:rPr>
                <w:rFonts w:eastAsia="Yu Mincho" w:cs="Times"/>
                <w:sz w:val="20"/>
                <w:szCs w:val="20"/>
                <w:lang w:eastAsia="zh-CN"/>
              </w:rPr>
              <w:t>Note: Strive to minimize specification impact by reusing tables for CORESET#0 and type0-PDCCH CSS set configuration defined for FR2 in Rel-15, as much as possible</w:t>
            </w:r>
          </w:p>
          <w:p>
            <w:pPr>
              <w:pStyle w:val="32"/>
              <w:overflowPunct w:val="0"/>
              <w:autoSpaceDE w:val="0"/>
              <w:autoSpaceDN w:val="0"/>
              <w:adjustRightInd w:val="0"/>
              <w:spacing w:before="120" w:after="0" w:line="259" w:lineRule="auto"/>
              <w:jc w:val="both"/>
              <w:textAlignment w:val="baseline"/>
              <w:rPr>
                <w:rFonts w:eastAsia="Yu Mincho" w:cs="Times"/>
                <w:sz w:val="20"/>
                <w:szCs w:val="20"/>
                <w:lang w:eastAsia="zh-CN"/>
              </w:rPr>
            </w:pPr>
            <w:r>
              <w:rPr>
                <w:rFonts w:eastAsia="Yu Mincho" w:cs="Times"/>
                <w:sz w:val="20"/>
                <w:szCs w:val="20"/>
                <w:lang w:eastAsia="zh-CN"/>
              </w:rPr>
              <w:t>Note: From UE perspective, ANR detection for 480/960kHz SCS based SSB is not supported if the UE does not support 480/960 SCS for SSB.</w:t>
            </w:r>
          </w:p>
          <w:p>
            <w:pPr>
              <w:pStyle w:val="32"/>
              <w:spacing w:before="120" w:after="0" w:line="280" w:lineRule="atLeast"/>
              <w:rPr>
                <w:vertAlign w:val="baseline"/>
                <w:lang w:eastAsia="zh-CN"/>
              </w:rPr>
            </w:pPr>
            <w:r>
              <w:rPr>
                <w:rFonts w:eastAsia="宋体" w:cs="Times"/>
                <w:sz w:val="20"/>
                <w:szCs w:val="20"/>
                <w:lang w:eastAsia="zh-CN"/>
              </w:rPr>
              <w:t>Note: for ANR, when reading the MIB, the cell containing the SSB is known to the UE, as defined in 38.133 specification.</w:t>
            </w:r>
          </w:p>
        </w:tc>
      </w:tr>
    </w:tbl>
    <w:p>
      <w:pPr>
        <w:numPr>
          <w:ilvl w:val="255"/>
          <w:numId w:val="0"/>
        </w:numPr>
        <w:spacing w:before="180" w:after="180" w:line="260" w:lineRule="auto"/>
        <w:jc w:val="both"/>
        <w:rPr>
          <w:lang w:eastAsia="zh-CN"/>
        </w:rPr>
      </w:pPr>
      <w:r>
        <w:rPr>
          <w:b/>
          <w:bCs/>
          <w:lang w:val="en-US" w:eastAsia="zh-CN"/>
        </w:rPr>
        <w:t xml:space="preserve">Proposal </w:t>
      </w:r>
      <w:r>
        <w:rPr>
          <w:rFonts w:hint="eastAsia"/>
          <w:b/>
          <w:bCs/>
          <w:lang w:val="en-US" w:eastAsia="zh-CN"/>
        </w:rPr>
        <w:t>1</w:t>
      </w:r>
      <w:r>
        <w:rPr>
          <w:b/>
          <w:bCs/>
          <w:lang w:val="en-US" w:eastAsia="zh-CN"/>
        </w:rPr>
        <w:t xml:space="preserve">: </w:t>
      </w:r>
      <w:r>
        <w:rPr>
          <w:rFonts w:hint="eastAsia"/>
          <w:b/>
          <w:bCs/>
          <w:lang w:val="en-US" w:eastAsia="zh-CN"/>
        </w:rPr>
        <w:t xml:space="preserve">The existing parameter </w:t>
      </w:r>
      <w:r>
        <w:rPr>
          <w:rStyle w:val="56"/>
          <w:rFonts w:hint="default" w:ascii="Times New Roman" w:hAnsi="Times New Roman" w:cs="Times New Roman"/>
          <w:b/>
          <w:bCs/>
          <w:i/>
          <w:iCs w:val="0"/>
          <w:caps w:val="0"/>
          <w:color w:val="000000"/>
          <w:spacing w:val="0"/>
          <w:sz w:val="21"/>
          <w:szCs w:val="21"/>
          <w:shd w:val="clear" w:fill="FFFFFF"/>
        </w:rPr>
        <w:t>subCarrierSpacingCommon </w:t>
      </w:r>
      <w:r>
        <w:rPr>
          <w:rFonts w:hint="default" w:ascii="Times New Roman" w:hAnsi="Times New Roman" w:eastAsia="宋体" w:cs="Times New Roman"/>
          <w:b/>
          <w:bCs/>
          <w:i w:val="0"/>
          <w:caps w:val="0"/>
          <w:color w:val="000000"/>
          <w:spacing w:val="0"/>
          <w:sz w:val="21"/>
          <w:szCs w:val="21"/>
          <w:shd w:val="clear" w:fill="FFFFFF"/>
        </w:rPr>
        <w:t xml:space="preserve">in </w:t>
      </w:r>
      <w:r>
        <w:rPr>
          <w:rFonts w:hint="default" w:ascii="Times New Roman" w:hAnsi="Times New Roman" w:eastAsia="宋体" w:cs="Times New Roman"/>
          <w:b/>
          <w:bCs/>
          <w:i/>
          <w:iCs/>
          <w:caps w:val="0"/>
          <w:color w:val="000000"/>
          <w:spacing w:val="0"/>
          <w:sz w:val="21"/>
          <w:szCs w:val="21"/>
          <w:shd w:val="clear" w:fill="FFFFFF"/>
        </w:rPr>
        <w:t>MIB</w:t>
      </w:r>
      <w:r>
        <w:rPr>
          <w:rFonts w:hint="eastAsia" w:eastAsia="宋体" w:cs="Times New Roman"/>
          <w:b/>
          <w:bCs/>
          <w:i/>
          <w:iCs/>
          <w:lang w:val="en-US" w:eastAsia="zh-CN"/>
        </w:rPr>
        <w:t xml:space="preserve"> </w:t>
      </w:r>
      <w:r>
        <w:rPr>
          <w:rFonts w:hint="eastAsia" w:eastAsia="宋体" w:cs="Times New Roman"/>
          <w:b/>
          <w:bCs/>
          <w:lang w:val="en-US" w:eastAsia="zh-CN"/>
        </w:rPr>
        <w:t>should be captured into Rel-17 RRC parameter</w:t>
      </w:r>
      <w:r>
        <w:rPr>
          <w:rFonts w:hint="eastAsia" w:cs="Times New Roman"/>
          <w:b/>
          <w:bCs/>
          <w:lang w:val="en-US" w:eastAsia="zh-CN"/>
        </w:rPr>
        <w:t>s</w:t>
      </w:r>
      <w:r>
        <w:rPr>
          <w:rFonts w:hint="eastAsia" w:eastAsia="宋体" w:cs="Times New Roman"/>
          <w:b/>
          <w:bCs/>
          <w:lang w:val="en-US" w:eastAsia="zh-CN"/>
        </w:rPr>
        <w:t xml:space="preserve"> </w:t>
      </w:r>
      <w:r>
        <w:rPr>
          <w:rFonts w:hint="eastAsia" w:cs="Times New Roman"/>
          <w:b/>
          <w:bCs/>
          <w:lang w:val="en-US" w:eastAsia="zh-CN"/>
        </w:rPr>
        <w:t>list</w:t>
      </w:r>
      <w:r>
        <w:rPr>
          <w:rFonts w:hint="eastAsia" w:eastAsia="宋体" w:cs="Times New Roman"/>
          <w:b/>
          <w:bCs/>
          <w:lang w:val="en-US" w:eastAsia="zh-CN"/>
        </w:rPr>
        <w:t>, as it will no longer be used to indicate the SCS of CORESET#0</w:t>
      </w:r>
      <w:r>
        <w:rPr>
          <w:rFonts w:hint="eastAsia" w:eastAsia="宋体"/>
          <w:b/>
          <w:bCs/>
          <w:szCs w:val="22"/>
          <w:lang w:val="en-US" w:eastAsia="zh-CN"/>
        </w:rPr>
        <w:t xml:space="preserve"> in FR2-2</w:t>
      </w:r>
      <w:r>
        <w:rPr>
          <w:rFonts w:hint="eastAsia" w:eastAsia="宋体" w:cs="Times"/>
          <w:b/>
          <w:bCs/>
          <w:szCs w:val="20"/>
          <w:lang w:val="en-US" w:eastAsia="zh-CN"/>
        </w:rPr>
        <w:t>.</w:t>
      </w:r>
    </w:p>
    <w:p>
      <w:pPr>
        <w:pStyle w:val="3"/>
        <w:rPr>
          <w:rFonts w:hint="default"/>
          <w:lang w:val="en-US" w:eastAsia="zh-CN"/>
        </w:rPr>
      </w:pPr>
      <w:r>
        <w:rPr>
          <w:rFonts w:hint="eastAsia"/>
          <w:lang w:val="en-US" w:eastAsia="zh-CN"/>
        </w:rPr>
        <w:t>FD-OCC Off</w:t>
      </w:r>
    </w:p>
    <w:p>
      <w:pPr>
        <w:rPr>
          <w:rFonts w:hint="default"/>
          <w:b w:val="0"/>
          <w:bCs w:val="0"/>
          <w:lang w:val="en-US" w:eastAsia="zh-CN"/>
        </w:rPr>
      </w:pPr>
      <w:r>
        <w:rPr>
          <w:rFonts w:ascii="Arial" w:hAnsi="Arial" w:cs="Arial"/>
          <w:color w:val="000000"/>
          <w:lang w:val="en-US" w:eastAsia="zh-CN"/>
        </w:rPr>
        <mc:AlternateContent>
          <mc:Choice Requires="wps">
            <w:drawing>
              <wp:inline distT="0" distB="0" distL="0" distR="0">
                <wp:extent cx="6088380" cy="2437130"/>
                <wp:effectExtent l="4445" t="4445" r="15875" b="9525"/>
                <wp:docPr id="18" name="Text Box 2"/>
                <wp:cNvGraphicFramePr/>
                <a:graphic xmlns:a="http://schemas.openxmlformats.org/drawingml/2006/main">
                  <a:graphicData uri="http://schemas.microsoft.com/office/word/2010/wordprocessingShape">
                    <wps:wsp>
                      <wps:cNvSpPr txBox="1">
                        <a:spLocks noChangeArrowheads="1"/>
                      </wps:cNvSpPr>
                      <wps:spPr bwMode="auto">
                        <a:xfrm>
                          <a:off x="0" y="0"/>
                          <a:ext cx="6088380" cy="2437130"/>
                        </a:xfrm>
                        <a:prstGeom prst="rect">
                          <a:avLst/>
                        </a:prstGeom>
                        <a:solidFill>
                          <a:srgbClr val="FFFFFF"/>
                        </a:solidFill>
                        <a:ln w="9525">
                          <a:solidFill>
                            <a:srgbClr val="000000"/>
                          </a:solidFill>
                          <a:miter lim="800000"/>
                        </a:ln>
                      </wps:spPr>
                      <wps:txbx>
                        <w:txbxContent>
                          <w:p>
                            <w:pPr>
                              <w:rPr>
                                <w:iCs/>
                              </w:rPr>
                            </w:pPr>
                            <w:r>
                              <w:rPr>
                                <w:iCs/>
                                <w:highlight w:val="green"/>
                              </w:rPr>
                              <w:t>Agreement:</w:t>
                            </w:r>
                          </w:p>
                          <w:p>
                            <w:pPr>
                              <w:pStyle w:val="162"/>
                              <w:numPr>
                                <w:ilvl w:val="0"/>
                                <w:numId w:val="10"/>
                              </w:numPr>
                              <w:spacing w:line="259" w:lineRule="auto"/>
                              <w:ind w:leftChars="0"/>
                              <w:rPr>
                                <w:rFonts w:ascii="Times New Roman" w:hAnsi="Times New Roman"/>
                                <w:szCs w:val="20"/>
                              </w:rPr>
                            </w:pPr>
                            <w:r>
                              <w:rPr>
                                <w:rFonts w:ascii="Times New Roman" w:hAnsi="Times New Roman"/>
                                <w:szCs w:val="20"/>
                              </w:rPr>
                              <w:t>For 480 kHz and/or 960 kHz SCS</w:t>
                            </w:r>
                            <w:r>
                              <w:rPr>
                                <w:rFonts w:ascii="Times New Roman" w:hAnsi="Times New Roman" w:eastAsia="MS PMincho"/>
                                <w:szCs w:val="20"/>
                                <w:lang w:eastAsia="ja-JP"/>
                              </w:rPr>
                              <w:t>, for rank 1 PDSCH at least with DMRS type-1, support a configuration of DMRS where the UE is able to assume that FD-OCC is not applied</w:t>
                            </w:r>
                            <w:r>
                              <w:rPr>
                                <w:rFonts w:ascii="Times New Roman" w:hAnsi="Times New Roman"/>
                                <w:szCs w:val="20"/>
                              </w:rPr>
                              <w:t>.</w:t>
                            </w:r>
                          </w:p>
                          <w:p>
                            <w:pPr>
                              <w:pStyle w:val="162"/>
                              <w:numPr>
                                <w:ilvl w:val="1"/>
                                <w:numId w:val="10"/>
                              </w:numPr>
                              <w:spacing w:line="259" w:lineRule="auto"/>
                              <w:ind w:leftChars="0"/>
                              <w:rPr>
                                <w:rFonts w:ascii="Times New Roman" w:hAnsi="Times New Roman"/>
                                <w:szCs w:val="20"/>
                              </w:rPr>
                            </w:pPr>
                            <w:r>
                              <w:rPr>
                                <w:rFonts w:ascii="Times New Roman" w:hAnsi="Times New Roman"/>
                                <w:szCs w:val="20"/>
                              </w:rPr>
                              <w:t xml:space="preserve">Note: </w:t>
                            </w:r>
                            <w:r>
                              <w:rPr>
                                <w:rFonts w:ascii="Times New Roman" w:hAnsi="Times New Roman"/>
                                <w:szCs w:val="20"/>
                                <w:lang w:eastAsia="zh-CN"/>
                              </w:rPr>
                              <w:t>“FD-OCC is not applied” refers to the UE may assume that a set of remaining orthogonal antenna ports are not associated with the PDSCH to another UE, wherein the set of remaining orthogonal antenna ports are within the same CDM group and have different FD-OCC</w:t>
                            </w:r>
                            <w:r>
                              <w:rPr>
                                <w:rFonts w:ascii="Times New Roman" w:hAnsi="Times New Roman"/>
                                <w:szCs w:val="20"/>
                              </w:rPr>
                              <w:t xml:space="preserve"> </w:t>
                            </w:r>
                          </w:p>
                          <w:p>
                            <w:pPr>
                              <w:pStyle w:val="162"/>
                              <w:numPr>
                                <w:ilvl w:val="1"/>
                                <w:numId w:val="10"/>
                              </w:numPr>
                              <w:spacing w:line="259" w:lineRule="auto"/>
                              <w:ind w:leftChars="0"/>
                              <w:rPr>
                                <w:rFonts w:ascii="Times New Roman" w:hAnsi="Times New Roman"/>
                                <w:szCs w:val="20"/>
                              </w:rPr>
                            </w:pPr>
                            <w:r>
                              <w:rPr>
                                <w:rFonts w:ascii="Times New Roman" w:hAnsi="Times New Roman"/>
                                <w:szCs w:val="20"/>
                              </w:rPr>
                              <w:t>FFS whether applies to DMRS type-2</w:t>
                            </w:r>
                          </w:p>
                          <w:p>
                            <w:pPr>
                              <w:pStyle w:val="162"/>
                              <w:numPr>
                                <w:ilvl w:val="1"/>
                                <w:numId w:val="10"/>
                              </w:numPr>
                              <w:spacing w:line="259" w:lineRule="auto"/>
                              <w:ind w:leftChars="0"/>
                              <w:rPr>
                                <w:rFonts w:ascii="Times New Roman" w:hAnsi="Times New Roman"/>
                                <w:szCs w:val="20"/>
                              </w:rPr>
                            </w:pPr>
                            <w:r>
                              <w:rPr>
                                <w:rFonts w:ascii="Times New Roman" w:hAnsi="Times New Roman" w:eastAsia="MS PMincho"/>
                                <w:szCs w:val="20"/>
                                <w:lang w:eastAsia="ja-JP"/>
                              </w:rPr>
                              <w:t>Down select between the following options for the indication to UE</w:t>
                            </w:r>
                          </w:p>
                          <w:p>
                            <w:pPr>
                              <w:pStyle w:val="162"/>
                              <w:numPr>
                                <w:ilvl w:val="2"/>
                                <w:numId w:val="10"/>
                              </w:numPr>
                              <w:spacing w:line="259" w:lineRule="auto"/>
                              <w:ind w:leftChars="0"/>
                              <w:rPr>
                                <w:rFonts w:ascii="Times New Roman" w:hAnsi="Times New Roman"/>
                                <w:szCs w:val="20"/>
                              </w:rPr>
                            </w:pPr>
                            <w:r>
                              <w:rPr>
                                <w:rFonts w:ascii="Times New Roman" w:hAnsi="Times New Roman" w:eastAsia="MS PMincho"/>
                                <w:szCs w:val="20"/>
                                <w:lang w:eastAsia="ja-JP"/>
                              </w:rPr>
                              <w:t xml:space="preserve">RRC configuration </w:t>
                            </w:r>
                          </w:p>
                          <w:p>
                            <w:pPr>
                              <w:pStyle w:val="162"/>
                              <w:numPr>
                                <w:ilvl w:val="2"/>
                                <w:numId w:val="10"/>
                              </w:numPr>
                              <w:spacing w:line="259" w:lineRule="auto"/>
                              <w:ind w:leftChars="0"/>
                              <w:rPr>
                                <w:rFonts w:ascii="Times New Roman" w:hAnsi="Times New Roman"/>
                                <w:szCs w:val="20"/>
                              </w:rPr>
                            </w:pPr>
                            <w:r>
                              <w:rPr>
                                <w:rFonts w:ascii="Times New Roman" w:hAnsi="Times New Roman" w:eastAsia="MS PMincho"/>
                                <w:szCs w:val="20"/>
                                <w:lang w:eastAsia="ja-JP"/>
                              </w:rPr>
                              <w:t xml:space="preserve">antenna port(s) field in DCI scheduling the rank 1 PDSCH </w:t>
                            </w:r>
                          </w:p>
                          <w:p>
                            <w:pPr>
                              <w:numPr>
                                <w:ilvl w:val="255"/>
                                <w:numId w:val="0"/>
                              </w:numPr>
                              <w:spacing w:after="0" w:line="240" w:lineRule="auto"/>
                              <w:rPr>
                                <w:b/>
                                <w:bCs/>
                                <w:lang w:eastAsia="zh-CN"/>
                              </w:rPr>
                            </w:pPr>
                          </w:p>
                        </w:txbxContent>
                      </wps:txbx>
                      <wps:bodyPr rot="0" vert="horz" wrap="square" lIns="91440" tIns="45720" rIns="91440" bIns="45720" anchor="t" anchorCtr="0">
                        <a:noAutofit/>
                      </wps:bodyPr>
                    </wps:wsp>
                  </a:graphicData>
                </a:graphic>
              </wp:inline>
            </w:drawing>
          </mc:Choice>
          <mc:Fallback>
            <w:pict>
              <v:shape id="Text Box 2" o:spid="_x0000_s1026" o:spt="202" type="#_x0000_t202" style="height:191.9pt;width:479.4pt;" fillcolor="#FFFFFF" filled="t" stroked="t" coordsize="21600,21600" o:gfxdata="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ALjzL1QAAAAUBAAAPAAAAAAAAAAEAIAAA&#10;ACIAAABkcnMvZG93bnJldi54bWxQSwECFAAUAAAACACHTuJAaZqSuA8CAAAuBAAADgAAAAAAAAAB&#10;ACAAAAAkAQAAZHJzL2Uyb0RvYy54bWxQSwUGAAAAAAYABgBZAQAApQUAAAAA&#10;">
                <v:fill on="t" focussize="0,0"/>
                <v:stroke color="#000000" miterlimit="8" joinstyle="miter"/>
                <v:imagedata o:title=""/>
                <o:lock v:ext="edit" aspectratio="f"/>
                <v:textbox>
                  <w:txbxContent>
                    <w:p>
                      <w:pPr>
                        <w:rPr>
                          <w:iCs/>
                        </w:rPr>
                      </w:pPr>
                      <w:r>
                        <w:rPr>
                          <w:iCs/>
                          <w:highlight w:val="green"/>
                        </w:rPr>
                        <w:t>Agreement:</w:t>
                      </w:r>
                    </w:p>
                    <w:p>
                      <w:pPr>
                        <w:pStyle w:val="162"/>
                        <w:numPr>
                          <w:ilvl w:val="0"/>
                          <w:numId w:val="10"/>
                        </w:numPr>
                        <w:spacing w:line="259" w:lineRule="auto"/>
                        <w:ind w:leftChars="0"/>
                        <w:rPr>
                          <w:rFonts w:ascii="Times New Roman" w:hAnsi="Times New Roman"/>
                          <w:szCs w:val="20"/>
                        </w:rPr>
                      </w:pPr>
                      <w:r>
                        <w:rPr>
                          <w:rFonts w:ascii="Times New Roman" w:hAnsi="Times New Roman"/>
                          <w:szCs w:val="20"/>
                        </w:rPr>
                        <w:t>For 480 kHz and/or 960 kHz SCS</w:t>
                      </w:r>
                      <w:r>
                        <w:rPr>
                          <w:rFonts w:ascii="Times New Roman" w:hAnsi="Times New Roman" w:eastAsia="MS PMincho"/>
                          <w:szCs w:val="20"/>
                          <w:lang w:eastAsia="ja-JP"/>
                        </w:rPr>
                        <w:t>, for rank 1 PDSCH at least with DMRS type-1, support a configuration of DMRS where the UE is able to assume that FD-OCC is not applied</w:t>
                      </w:r>
                      <w:r>
                        <w:rPr>
                          <w:rFonts w:ascii="Times New Roman" w:hAnsi="Times New Roman"/>
                          <w:szCs w:val="20"/>
                        </w:rPr>
                        <w:t>.</w:t>
                      </w:r>
                    </w:p>
                    <w:p>
                      <w:pPr>
                        <w:pStyle w:val="162"/>
                        <w:numPr>
                          <w:ilvl w:val="1"/>
                          <w:numId w:val="10"/>
                        </w:numPr>
                        <w:spacing w:line="259" w:lineRule="auto"/>
                        <w:ind w:leftChars="0"/>
                        <w:rPr>
                          <w:rFonts w:ascii="Times New Roman" w:hAnsi="Times New Roman"/>
                          <w:szCs w:val="20"/>
                        </w:rPr>
                      </w:pPr>
                      <w:r>
                        <w:rPr>
                          <w:rFonts w:ascii="Times New Roman" w:hAnsi="Times New Roman"/>
                          <w:szCs w:val="20"/>
                        </w:rPr>
                        <w:t xml:space="preserve">Note: </w:t>
                      </w:r>
                      <w:r>
                        <w:rPr>
                          <w:rFonts w:ascii="Times New Roman" w:hAnsi="Times New Roman"/>
                          <w:szCs w:val="20"/>
                          <w:lang w:eastAsia="zh-CN"/>
                        </w:rPr>
                        <w:t>“FD-OCC is not applied” refers to the UE may assume that a set of remaining orthogonal antenna ports are not associated with the PDSCH to another UE, wherein the set of remaining orthogonal antenna ports are within the same CDM group and have different FD-OCC</w:t>
                      </w:r>
                      <w:r>
                        <w:rPr>
                          <w:rFonts w:ascii="Times New Roman" w:hAnsi="Times New Roman"/>
                          <w:szCs w:val="20"/>
                        </w:rPr>
                        <w:t xml:space="preserve"> </w:t>
                      </w:r>
                    </w:p>
                    <w:p>
                      <w:pPr>
                        <w:pStyle w:val="162"/>
                        <w:numPr>
                          <w:ilvl w:val="1"/>
                          <w:numId w:val="10"/>
                        </w:numPr>
                        <w:spacing w:line="259" w:lineRule="auto"/>
                        <w:ind w:leftChars="0"/>
                        <w:rPr>
                          <w:rFonts w:ascii="Times New Roman" w:hAnsi="Times New Roman"/>
                          <w:szCs w:val="20"/>
                        </w:rPr>
                      </w:pPr>
                      <w:r>
                        <w:rPr>
                          <w:rFonts w:ascii="Times New Roman" w:hAnsi="Times New Roman"/>
                          <w:szCs w:val="20"/>
                        </w:rPr>
                        <w:t>FFS whether applies to DMRS type-2</w:t>
                      </w:r>
                    </w:p>
                    <w:p>
                      <w:pPr>
                        <w:pStyle w:val="162"/>
                        <w:numPr>
                          <w:ilvl w:val="1"/>
                          <w:numId w:val="10"/>
                        </w:numPr>
                        <w:spacing w:line="259" w:lineRule="auto"/>
                        <w:ind w:leftChars="0"/>
                        <w:rPr>
                          <w:rFonts w:ascii="Times New Roman" w:hAnsi="Times New Roman"/>
                          <w:szCs w:val="20"/>
                        </w:rPr>
                      </w:pPr>
                      <w:r>
                        <w:rPr>
                          <w:rFonts w:ascii="Times New Roman" w:hAnsi="Times New Roman" w:eastAsia="MS PMincho"/>
                          <w:szCs w:val="20"/>
                          <w:lang w:eastAsia="ja-JP"/>
                        </w:rPr>
                        <w:t>Down select between the following options for the indication to UE</w:t>
                      </w:r>
                    </w:p>
                    <w:p>
                      <w:pPr>
                        <w:pStyle w:val="162"/>
                        <w:numPr>
                          <w:ilvl w:val="2"/>
                          <w:numId w:val="10"/>
                        </w:numPr>
                        <w:spacing w:line="259" w:lineRule="auto"/>
                        <w:ind w:leftChars="0"/>
                        <w:rPr>
                          <w:rFonts w:ascii="Times New Roman" w:hAnsi="Times New Roman"/>
                          <w:szCs w:val="20"/>
                        </w:rPr>
                      </w:pPr>
                      <w:r>
                        <w:rPr>
                          <w:rFonts w:ascii="Times New Roman" w:hAnsi="Times New Roman" w:eastAsia="MS PMincho"/>
                          <w:szCs w:val="20"/>
                          <w:lang w:eastAsia="ja-JP"/>
                        </w:rPr>
                        <w:t xml:space="preserve">RRC configuration </w:t>
                      </w:r>
                    </w:p>
                    <w:p>
                      <w:pPr>
                        <w:pStyle w:val="162"/>
                        <w:numPr>
                          <w:ilvl w:val="2"/>
                          <w:numId w:val="10"/>
                        </w:numPr>
                        <w:spacing w:line="259" w:lineRule="auto"/>
                        <w:ind w:leftChars="0"/>
                        <w:rPr>
                          <w:rFonts w:ascii="Times New Roman" w:hAnsi="Times New Roman"/>
                          <w:szCs w:val="20"/>
                        </w:rPr>
                      </w:pPr>
                      <w:r>
                        <w:rPr>
                          <w:rFonts w:ascii="Times New Roman" w:hAnsi="Times New Roman" w:eastAsia="MS PMincho"/>
                          <w:szCs w:val="20"/>
                          <w:lang w:eastAsia="ja-JP"/>
                        </w:rPr>
                        <w:t xml:space="preserve">antenna port(s) field in DCI scheduling the rank 1 PDSCH </w:t>
                      </w:r>
                    </w:p>
                    <w:p>
                      <w:pPr>
                        <w:numPr>
                          <w:ilvl w:val="255"/>
                          <w:numId w:val="0"/>
                        </w:numPr>
                        <w:spacing w:after="0" w:line="240" w:lineRule="auto"/>
                        <w:rPr>
                          <w:b/>
                          <w:bCs/>
                          <w:lang w:eastAsia="zh-CN"/>
                        </w:rPr>
                      </w:pPr>
                    </w:p>
                  </w:txbxContent>
                </v:textbox>
                <w10:wrap type="none"/>
                <w10:anchorlock/>
              </v:shape>
            </w:pict>
          </mc:Fallback>
        </mc:AlternateContent>
      </w:r>
    </w:p>
    <w:p>
      <w:pPr>
        <w:jc w:val="both"/>
        <w:rPr>
          <w:rFonts w:hint="default"/>
          <w:b w:val="0"/>
          <w:bCs w:val="0"/>
          <w:lang w:val="en-US" w:eastAsia="zh-CN"/>
        </w:rPr>
      </w:pPr>
      <w:r>
        <w:rPr>
          <w:rFonts w:hint="eastAsia"/>
          <w:b w:val="0"/>
          <w:bCs w:val="0"/>
          <w:lang w:val="en-US" w:eastAsia="zh-CN"/>
        </w:rPr>
        <w:t xml:space="preserve">It has been agreed in RAN1#106-e meeting that, </w:t>
      </w:r>
      <w:r>
        <w:rPr>
          <w:rFonts w:hint="eastAsia" w:eastAsia="宋体"/>
          <w:szCs w:val="20"/>
          <w:lang w:val="en-US" w:eastAsia="zh-CN"/>
        </w:rPr>
        <w:t>f</w:t>
      </w:r>
      <w:r>
        <w:rPr>
          <w:rFonts w:ascii="Times New Roman" w:hAnsi="Times New Roman"/>
          <w:szCs w:val="20"/>
        </w:rPr>
        <w:t>or 480 kHz and/or 960 kHz SCS</w:t>
      </w:r>
      <w:r>
        <w:rPr>
          <w:rFonts w:ascii="Times New Roman" w:hAnsi="Times New Roman" w:eastAsia="MS PMincho"/>
          <w:szCs w:val="20"/>
          <w:lang w:eastAsia="ja-JP"/>
        </w:rPr>
        <w:t>, for rank 1 PDSCH at least with DMRS type-1,</w:t>
      </w:r>
      <w:r>
        <w:rPr>
          <w:rFonts w:hint="eastAsia" w:eastAsia="宋体"/>
          <w:szCs w:val="20"/>
          <w:lang w:val="en-US" w:eastAsia="zh-CN"/>
        </w:rPr>
        <w:t xml:space="preserve"> </w:t>
      </w:r>
      <w:r>
        <w:rPr>
          <w:rFonts w:hint="eastAsia"/>
          <w:b w:val="0"/>
          <w:bCs w:val="0"/>
          <w:lang w:val="en-US" w:eastAsia="zh-CN"/>
        </w:rPr>
        <w:t>s</w:t>
      </w:r>
      <w:r>
        <w:rPr>
          <w:rFonts w:ascii="Times New Roman" w:hAnsi="Times New Roman" w:eastAsia="MS PMincho"/>
          <w:szCs w:val="20"/>
          <w:lang w:eastAsia="ja-JP"/>
        </w:rPr>
        <w:t>upport a configuration of DMRS where the UE is able to assume that FD-OCC is not applied</w:t>
      </w:r>
      <w:r>
        <w:rPr>
          <w:rFonts w:hint="eastAsia" w:ascii="Times New Roman" w:hAnsi="Times New Roman" w:eastAsia="宋体"/>
          <w:szCs w:val="20"/>
          <w:lang w:val="en-US" w:eastAsia="zh-CN"/>
        </w:rPr>
        <w:t xml:space="preserve">. There are two </w:t>
      </w:r>
      <w:r>
        <w:rPr>
          <w:rFonts w:hint="eastAsia" w:eastAsia="宋体"/>
          <w:szCs w:val="20"/>
          <w:lang w:val="en-US" w:eastAsia="zh-CN"/>
        </w:rPr>
        <w:t>options for the indication FD-OCC off</w:t>
      </w:r>
      <w:r>
        <w:rPr>
          <w:rFonts w:hint="eastAsia" w:ascii="Times New Roman" w:hAnsi="Times New Roman" w:eastAsia="宋体"/>
          <w:szCs w:val="20"/>
          <w:lang w:val="en-US" w:eastAsia="zh-CN"/>
        </w:rPr>
        <w:t xml:space="preserve">. One is using the </w:t>
      </w:r>
      <w:r>
        <w:rPr>
          <w:rFonts w:hint="eastAsia"/>
          <w:lang w:val="en-US" w:eastAsia="zh-CN"/>
        </w:rPr>
        <w:t xml:space="preserve">antenna port(s) field in DCI to support the feature, the other way is to use the RRC parameter to support the </w:t>
      </w:r>
      <w:r>
        <w:rPr>
          <w:rFonts w:ascii="Times New Roman" w:hAnsi="Times New Roman" w:eastAsia="MS PMincho"/>
          <w:szCs w:val="20"/>
          <w:lang w:eastAsia="ja-JP"/>
        </w:rPr>
        <w:t>FD-OCC</w:t>
      </w:r>
      <w:r>
        <w:rPr>
          <w:rFonts w:hint="eastAsia" w:eastAsia="宋体"/>
          <w:szCs w:val="20"/>
          <w:lang w:val="en-US" w:eastAsia="zh-CN"/>
        </w:rPr>
        <w:t xml:space="preserve"> off configuration. If RRC configuration is used to indicate FD-OCC off, the corresponding RRC parameter may need to be defined.</w:t>
      </w:r>
    </w:p>
    <w:p>
      <w:r>
        <w:rPr>
          <w:rFonts w:hint="eastAsia"/>
          <w:b/>
          <w:bCs/>
          <w:lang w:val="en-US" w:eastAsia="zh-CN"/>
        </w:rPr>
        <w:t xml:space="preserve">Proposal 2: </w:t>
      </w:r>
      <w:r>
        <w:rPr>
          <w:rFonts w:hint="eastAsia" w:eastAsia="宋体"/>
          <w:b/>
          <w:bCs/>
          <w:szCs w:val="20"/>
          <w:lang w:val="en-US" w:eastAsia="zh-CN"/>
        </w:rPr>
        <w:t>If RRC configuration option is selected to indicate FD-OCC off, the corresponding RRC parameter may need to be defined.</w:t>
      </w:r>
    </w:p>
    <w:p>
      <w:pPr>
        <w:pStyle w:val="3"/>
        <w:rPr>
          <w:rFonts w:hint="eastAsia"/>
          <w:lang w:val="en-US" w:eastAsia="zh-CN"/>
        </w:rPr>
      </w:pPr>
      <w:r>
        <w:rPr>
          <w:rFonts w:hint="eastAsia"/>
          <w:lang w:val="en-US" w:eastAsia="zh-CN"/>
        </w:rPr>
        <w:t xml:space="preserve">LBT mode </w:t>
      </w:r>
    </w:p>
    <w:p>
      <w:pPr>
        <w:spacing w:before="180" w:line="260" w:lineRule="auto"/>
        <w:jc w:val="both"/>
        <w:rPr>
          <w:rFonts w:hint="default"/>
          <w:i w:val="0"/>
          <w:sz w:val="20"/>
          <w:szCs w:val="20"/>
          <w:lang w:val="en-US" w:eastAsia="zh-CN"/>
        </w:rPr>
      </w:pPr>
      <w:r>
        <w:rPr>
          <w:rFonts w:hint="eastAsia"/>
          <w:i w:val="0"/>
          <w:sz w:val="20"/>
          <w:szCs w:val="20"/>
          <w:lang w:val="en-US" w:eastAsia="zh-CN"/>
        </w:rPr>
        <w:t>In the post RAN1 #106 e-meeting, as for chair guidance, RAN1 launched an email discussion in order to collection company views on RRC parameters for Rel-17 above 52.6GHz. Wherein, for channel access part, LBT mode has been captured in the latest RRC excel sheet, but specific LBT mode is per beam or per cell has not been determined yet. According to the analysis in section 2.4.6 of our company</w:t>
      </w:r>
      <w:r>
        <w:rPr>
          <w:rFonts w:hint="default"/>
          <w:i w:val="0"/>
          <w:sz w:val="20"/>
          <w:szCs w:val="20"/>
          <w:lang w:val="en-US" w:eastAsia="zh-CN"/>
        </w:rPr>
        <w:t>’</w:t>
      </w:r>
      <w:r>
        <w:rPr>
          <w:rFonts w:hint="eastAsia"/>
          <w:i w:val="0"/>
          <w:sz w:val="20"/>
          <w:szCs w:val="20"/>
          <w:lang w:val="en-US" w:eastAsia="zh-CN"/>
        </w:rPr>
        <w:t>s contribution [2], we believe that per beam is more suitable for LBT mode. Based on this, we suggest that LBT mode in RRC excel sheet can be updated as per beam, if per beam is agreed for LBT mode.</w:t>
      </w:r>
    </w:p>
    <w:tbl>
      <w:tblPr>
        <w:tblStyle w:val="5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739"/>
        <w:gridCol w:w="645"/>
        <w:gridCol w:w="382"/>
        <w:gridCol w:w="635"/>
        <w:gridCol w:w="341"/>
        <w:gridCol w:w="546"/>
        <w:gridCol w:w="475"/>
        <w:gridCol w:w="544"/>
        <w:gridCol w:w="1888"/>
        <w:gridCol w:w="306"/>
        <w:gridCol w:w="386"/>
        <w:gridCol w:w="480"/>
        <w:gridCol w:w="592"/>
        <w:gridCol w:w="643"/>
        <w:gridCol w:w="10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20" w:hRule="atLeast"/>
        </w:trPr>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Sub-feature group</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RAN1 specification</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Section</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RAN2 Parant IE</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RAN2 ASN.1 name</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Parameter name in the spec</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New or existing?</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Parameter name in the text</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Description</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Value range</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Default value aspect</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Per (UE, cell, TRP, …)</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UE-specific or Cell-specific</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Specification</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Comment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Channel access</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FFS. For cell-specific configuration</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LBT-Mode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New</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To switch between LBT and no-LBT mode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FFS</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FF"/>
                <w:sz w:val="10"/>
                <w:szCs w:val="10"/>
                <w:u w:val="none"/>
                <w:lang w:val="en-US" w:eastAsia="zh-CN"/>
              </w:rPr>
            </w:pPr>
            <w:r>
              <w:rPr>
                <w:rFonts w:hint="eastAsia" w:ascii="Arial" w:hAnsi="Arial" w:eastAsia="等线" w:cs="Arial"/>
                <w:i w:val="0"/>
                <w:color w:val="0000FF"/>
                <w:sz w:val="10"/>
                <w:szCs w:val="10"/>
                <w:u w:val="none"/>
                <w:lang w:val="en-US" w:eastAsia="zh-CN"/>
              </w:rPr>
              <w:t>Per beam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FF"/>
                <w:sz w:val="10"/>
                <w:szCs w:val="10"/>
                <w:u w:val="none"/>
                <w:lang w:val="en-US" w:eastAsia="zh-CN"/>
              </w:rPr>
            </w:pPr>
            <w:r>
              <w:rPr>
                <w:rFonts w:hint="eastAsia" w:ascii="Arial" w:hAnsi="Arial" w:eastAsia="等线" w:cs="Arial"/>
                <w:i w:val="0"/>
                <w:color w:val="0000FF"/>
                <w:sz w:val="10"/>
                <w:szCs w:val="10"/>
                <w:u w:val="none"/>
                <w:lang w:val="en-US" w:eastAsia="zh-CN"/>
              </w:rPr>
              <w:t>Cell-specific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Agreement:</w:t>
            </w:r>
            <w:r>
              <w:rPr>
                <w:rFonts w:hint="default" w:ascii="Arial" w:hAnsi="Arial" w:eastAsia="等线" w:cs="Arial"/>
                <w:i w:val="0"/>
                <w:color w:val="000000"/>
                <w:kern w:val="0"/>
                <w:sz w:val="10"/>
                <w:szCs w:val="10"/>
                <w:u w:val="none"/>
                <w:lang w:val="en-US" w:eastAsia="zh-CN" w:bidi="ar"/>
              </w:rPr>
              <w:br w:type="textWrapping"/>
            </w:r>
            <w:r>
              <w:rPr>
                <w:rFonts w:hint="default" w:ascii="Arial" w:hAnsi="Arial" w:eastAsia="等线" w:cs="Arial"/>
                <w:i w:val="0"/>
                <w:color w:val="000000"/>
                <w:kern w:val="0"/>
                <w:sz w:val="10"/>
                <w:szCs w:val="10"/>
                <w:u w:val="none"/>
                <w:lang w:val="en-US" w:eastAsia="zh-CN" w:bidi="ar"/>
              </w:rPr>
              <w:t>For regions where LBT is not mandated, gNB should indicate to the UE this gNB-UE connection is operating in LBT mode or no-LBT mode</w:t>
            </w:r>
            <w:r>
              <w:rPr>
                <w:rFonts w:hint="default" w:ascii="Arial" w:hAnsi="Arial" w:eastAsia="等线" w:cs="Arial"/>
                <w:i w:val="0"/>
                <w:color w:val="000000"/>
                <w:kern w:val="0"/>
                <w:sz w:val="10"/>
                <w:szCs w:val="10"/>
                <w:u w:val="none"/>
                <w:lang w:val="en-US" w:eastAsia="zh-CN" w:bidi="ar"/>
              </w:rPr>
              <w:br w:type="textWrapping"/>
            </w:r>
            <w:r>
              <w:rPr>
                <w:rFonts w:hint="default" w:ascii="Arial" w:hAnsi="Arial" w:eastAsia="等线" w:cs="Arial"/>
                <w:i w:val="0"/>
                <w:color w:val="000000"/>
                <w:kern w:val="0"/>
                <w:sz w:val="10"/>
                <w:szCs w:val="10"/>
                <w:u w:val="none"/>
                <w:lang w:val="en-US" w:eastAsia="zh-CN" w:bidi="ar"/>
              </w:rPr>
              <w:t>• Support both cell specific (common for all UEs in a cell as part of system information or dedicated RRC signalling or both) and UE specific (can be different for different UEs in a cell as part of UE-specific RRC configuration) gNB indication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Channel access</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FFS. For UE-specific configuration</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LBT-Mode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New</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To switch between LBT and no-LBT mode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FFS</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FF"/>
                <w:sz w:val="10"/>
                <w:szCs w:val="10"/>
                <w:u w:val="none"/>
                <w:lang w:val="en-US" w:eastAsia="zh-CN"/>
              </w:rPr>
            </w:pPr>
            <w:r>
              <w:rPr>
                <w:rFonts w:hint="eastAsia" w:ascii="Arial" w:hAnsi="Arial" w:eastAsia="等线" w:cs="Arial"/>
                <w:i w:val="0"/>
                <w:color w:val="0000FF"/>
                <w:sz w:val="10"/>
                <w:szCs w:val="10"/>
                <w:u w:val="none"/>
                <w:lang w:val="en-US" w:eastAsia="zh-CN"/>
              </w:rPr>
              <w:t>Per beam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FF"/>
                <w:sz w:val="10"/>
                <w:szCs w:val="10"/>
                <w:u w:val="none"/>
                <w:lang w:val="en-US" w:eastAsia="zh-CN"/>
              </w:rPr>
            </w:pPr>
            <w:r>
              <w:rPr>
                <w:rFonts w:hint="eastAsia" w:ascii="Arial" w:hAnsi="Arial" w:eastAsia="等线" w:cs="Arial"/>
                <w:i w:val="0"/>
                <w:color w:val="0000FF"/>
                <w:sz w:val="10"/>
                <w:szCs w:val="10"/>
                <w:u w:val="none"/>
                <w:lang w:val="en-US" w:eastAsia="zh-CN"/>
              </w:rPr>
              <w:t>UE-specific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Agreement:</w:t>
            </w:r>
            <w:r>
              <w:rPr>
                <w:rFonts w:hint="default" w:ascii="Arial" w:hAnsi="Arial" w:eastAsia="等线" w:cs="Arial"/>
                <w:i w:val="0"/>
                <w:color w:val="000000"/>
                <w:kern w:val="0"/>
                <w:sz w:val="10"/>
                <w:szCs w:val="10"/>
                <w:u w:val="none"/>
                <w:lang w:val="en-US" w:eastAsia="zh-CN" w:bidi="ar"/>
              </w:rPr>
              <w:br w:type="textWrapping"/>
            </w:r>
            <w:r>
              <w:rPr>
                <w:rFonts w:hint="default" w:ascii="Arial" w:hAnsi="Arial" w:eastAsia="等线" w:cs="Arial"/>
                <w:i w:val="0"/>
                <w:color w:val="000000"/>
                <w:kern w:val="0"/>
                <w:sz w:val="10"/>
                <w:szCs w:val="10"/>
                <w:u w:val="none"/>
                <w:lang w:val="en-US" w:eastAsia="zh-CN" w:bidi="ar"/>
              </w:rPr>
              <w:t>For regions where LBT is not mandated, gNB should indicate to the UE this gNB-UE connection is operating in LBT mode or no-LBT mode</w:t>
            </w:r>
            <w:r>
              <w:rPr>
                <w:rFonts w:hint="default" w:ascii="Arial" w:hAnsi="Arial" w:eastAsia="等线" w:cs="Arial"/>
                <w:i w:val="0"/>
                <w:color w:val="000000"/>
                <w:kern w:val="0"/>
                <w:sz w:val="10"/>
                <w:szCs w:val="10"/>
                <w:u w:val="none"/>
                <w:lang w:val="en-US" w:eastAsia="zh-CN" w:bidi="ar"/>
              </w:rPr>
              <w:br w:type="textWrapping"/>
            </w:r>
            <w:r>
              <w:rPr>
                <w:rFonts w:hint="default" w:ascii="Arial" w:hAnsi="Arial" w:eastAsia="等线" w:cs="Arial"/>
                <w:i w:val="0"/>
                <w:color w:val="000000"/>
                <w:kern w:val="0"/>
                <w:sz w:val="10"/>
                <w:szCs w:val="10"/>
                <w:u w:val="none"/>
                <w:lang w:val="en-US" w:eastAsia="zh-CN" w:bidi="ar"/>
              </w:rPr>
              <w:t>• Support both cell specific (common for all UEs in a cell as part of system information or dedicated RRC signalling or both) and UE specific (can be different for different UEs in a cell as part of UE-specific RRC configuration) gNB indication</w:t>
            </w:r>
          </w:p>
        </w:tc>
      </w:tr>
    </w:tbl>
    <w:p>
      <w:pPr>
        <w:keepNext w:val="0"/>
        <w:keepLines w:val="0"/>
        <w:pageBreakBefore w:val="0"/>
        <w:widowControl/>
        <w:kinsoku/>
        <w:wordWrap/>
        <w:overflowPunct w:val="0"/>
        <w:topLinePunct w:val="0"/>
        <w:autoSpaceDE w:val="0"/>
        <w:autoSpaceDN w:val="0"/>
        <w:bidi w:val="0"/>
        <w:adjustRightInd w:val="0"/>
        <w:snapToGrid/>
        <w:spacing w:before="180"/>
        <w:textAlignment w:val="baseline"/>
      </w:pPr>
      <w:r>
        <w:rPr>
          <w:rFonts w:hint="eastAsia"/>
          <w:b/>
          <w:bCs/>
          <w:lang w:val="en-US" w:eastAsia="zh-CN"/>
        </w:rPr>
        <w:t>Proposal 3: If per beam is agreed for LBT mode, it is suggested to capture the feature of per beam for LBT mode in Rel-17 RRC parameters list.</w:t>
      </w:r>
    </w:p>
    <w:p>
      <w:pPr>
        <w:pStyle w:val="2"/>
        <w:rPr>
          <w:lang w:eastAsia="zh-CN"/>
        </w:rPr>
      </w:pPr>
      <w:r>
        <w:rPr>
          <w:rFonts w:hint="eastAsia"/>
          <w:lang w:eastAsia="zh-CN"/>
        </w:rPr>
        <w:t>C</w:t>
      </w:r>
      <w:r>
        <w:rPr>
          <w:lang w:eastAsia="zh-CN"/>
        </w:rPr>
        <w:t>onclusion</w:t>
      </w:r>
    </w:p>
    <w:p>
      <w:pPr>
        <w:rPr>
          <w:sz w:val="21"/>
          <w:szCs w:val="21"/>
          <w:lang w:val="en-US" w:eastAsia="zh-CN"/>
        </w:rPr>
      </w:pPr>
      <w:r>
        <w:rPr>
          <w:sz w:val="21"/>
          <w:szCs w:val="21"/>
          <w:lang w:val="en-US" w:eastAsia="zh-CN"/>
        </w:rPr>
        <w:t xml:space="preserve">In this contribution, we share some our views on </w:t>
      </w:r>
      <w:r>
        <w:rPr>
          <w:rFonts w:hint="eastAsia"/>
          <w:sz w:val="21"/>
          <w:szCs w:val="21"/>
          <w:lang w:val="en-US" w:eastAsia="zh-CN"/>
        </w:rPr>
        <w:t>RRC parameters</w:t>
      </w:r>
      <w:r>
        <w:rPr>
          <w:sz w:val="21"/>
          <w:szCs w:val="21"/>
          <w:lang w:val="en-US" w:eastAsia="zh-CN"/>
        </w:rPr>
        <w:t xml:space="preserve"> for </w:t>
      </w:r>
      <w:r>
        <w:rPr>
          <w:rFonts w:eastAsia="宋体"/>
          <w:sz w:val="21"/>
          <w:szCs w:val="21"/>
          <w:lang w:val="en-US" w:eastAsia="zh-CN"/>
        </w:rPr>
        <w:t xml:space="preserve">52.6 GHz to 71GHz and provide </w:t>
      </w:r>
      <w:r>
        <w:rPr>
          <w:sz w:val="21"/>
          <w:szCs w:val="21"/>
          <w:lang w:val="en-US" w:eastAsia="zh-CN"/>
        </w:rPr>
        <w:t>the following proposals:</w:t>
      </w:r>
    </w:p>
    <w:p>
      <w:pPr>
        <w:numPr>
          <w:ilvl w:val="255"/>
          <w:numId w:val="0"/>
        </w:numPr>
        <w:spacing w:before="180" w:after="180" w:line="260" w:lineRule="auto"/>
        <w:jc w:val="both"/>
        <w:rPr>
          <w:lang w:eastAsia="zh-CN"/>
        </w:rPr>
      </w:pPr>
      <w:r>
        <w:rPr>
          <w:b/>
          <w:bCs/>
          <w:lang w:val="en-US" w:eastAsia="zh-CN"/>
        </w:rPr>
        <w:t xml:space="preserve">Proposal </w:t>
      </w:r>
      <w:r>
        <w:rPr>
          <w:rFonts w:hint="eastAsia"/>
          <w:b/>
          <w:bCs/>
          <w:lang w:val="en-US" w:eastAsia="zh-CN"/>
        </w:rPr>
        <w:t>1</w:t>
      </w:r>
      <w:r>
        <w:rPr>
          <w:b/>
          <w:bCs/>
          <w:lang w:val="en-US" w:eastAsia="zh-CN"/>
        </w:rPr>
        <w:t xml:space="preserve">: </w:t>
      </w:r>
      <w:r>
        <w:rPr>
          <w:rFonts w:hint="eastAsia"/>
          <w:b/>
          <w:bCs/>
          <w:lang w:val="en-US" w:eastAsia="zh-CN"/>
        </w:rPr>
        <w:t xml:space="preserve">The existing parameter </w:t>
      </w:r>
      <w:r>
        <w:rPr>
          <w:rStyle w:val="56"/>
          <w:rFonts w:hint="default" w:ascii="Times New Roman" w:hAnsi="Times New Roman" w:cs="Times New Roman"/>
          <w:b/>
          <w:bCs/>
          <w:i/>
          <w:iCs w:val="0"/>
          <w:caps w:val="0"/>
          <w:color w:val="000000"/>
          <w:spacing w:val="0"/>
          <w:sz w:val="21"/>
          <w:szCs w:val="21"/>
          <w:shd w:val="clear" w:fill="FFFFFF"/>
        </w:rPr>
        <w:t>subCarrierSpacingCommon </w:t>
      </w:r>
      <w:r>
        <w:rPr>
          <w:rFonts w:hint="default" w:ascii="Times New Roman" w:hAnsi="Times New Roman" w:eastAsia="宋体" w:cs="Times New Roman"/>
          <w:b/>
          <w:bCs/>
          <w:i w:val="0"/>
          <w:caps w:val="0"/>
          <w:color w:val="000000"/>
          <w:spacing w:val="0"/>
          <w:sz w:val="21"/>
          <w:szCs w:val="21"/>
          <w:shd w:val="clear" w:fill="FFFFFF"/>
        </w:rPr>
        <w:t xml:space="preserve">in </w:t>
      </w:r>
      <w:r>
        <w:rPr>
          <w:rFonts w:hint="default" w:ascii="Times New Roman" w:hAnsi="Times New Roman" w:eastAsia="宋体" w:cs="Times New Roman"/>
          <w:b/>
          <w:bCs/>
          <w:i/>
          <w:iCs/>
          <w:caps w:val="0"/>
          <w:color w:val="000000"/>
          <w:spacing w:val="0"/>
          <w:sz w:val="21"/>
          <w:szCs w:val="21"/>
          <w:shd w:val="clear" w:fill="FFFFFF"/>
        </w:rPr>
        <w:t>MIB</w:t>
      </w:r>
      <w:r>
        <w:rPr>
          <w:rFonts w:hint="eastAsia" w:eastAsia="宋体" w:cs="Times New Roman"/>
          <w:b/>
          <w:bCs/>
          <w:i/>
          <w:iCs/>
          <w:lang w:val="en-US" w:eastAsia="zh-CN"/>
        </w:rPr>
        <w:t xml:space="preserve"> </w:t>
      </w:r>
      <w:r>
        <w:rPr>
          <w:rFonts w:hint="eastAsia" w:eastAsia="宋体" w:cs="Times New Roman"/>
          <w:b/>
          <w:bCs/>
          <w:lang w:val="en-US" w:eastAsia="zh-CN"/>
        </w:rPr>
        <w:t>should be captured into Rel-17 RRC parameter table, as it will no longer be used to indicate the SCS of CORESET#0</w:t>
      </w:r>
      <w:r>
        <w:rPr>
          <w:rFonts w:hint="eastAsia" w:eastAsia="宋体"/>
          <w:b/>
          <w:bCs/>
          <w:szCs w:val="22"/>
          <w:lang w:val="en-US" w:eastAsia="zh-CN"/>
        </w:rPr>
        <w:t xml:space="preserve"> in FR2-2</w:t>
      </w:r>
      <w:r>
        <w:rPr>
          <w:rFonts w:hint="eastAsia" w:eastAsia="宋体" w:cs="Times"/>
          <w:b/>
          <w:bCs/>
          <w:szCs w:val="20"/>
          <w:lang w:val="en-US" w:eastAsia="zh-CN"/>
        </w:rPr>
        <w:t>.</w:t>
      </w:r>
    </w:p>
    <w:p>
      <w:r>
        <w:rPr>
          <w:rFonts w:hint="eastAsia"/>
          <w:b/>
          <w:bCs/>
          <w:lang w:val="en-US" w:eastAsia="zh-CN"/>
        </w:rPr>
        <w:t xml:space="preserve">Proposal 2: </w:t>
      </w:r>
      <w:r>
        <w:rPr>
          <w:rFonts w:hint="eastAsia" w:eastAsia="宋体"/>
          <w:b/>
          <w:bCs/>
          <w:szCs w:val="20"/>
          <w:lang w:val="en-US" w:eastAsia="zh-CN"/>
        </w:rPr>
        <w:t>If RRC configuration option is selected to indicate FD-OCC off, the corresponding RRC parameter may need to be defined.</w:t>
      </w:r>
    </w:p>
    <w:p>
      <w:pPr>
        <w:keepNext w:val="0"/>
        <w:keepLines w:val="0"/>
        <w:pageBreakBefore w:val="0"/>
        <w:widowControl/>
        <w:kinsoku/>
        <w:wordWrap/>
        <w:overflowPunct w:val="0"/>
        <w:topLinePunct w:val="0"/>
        <w:autoSpaceDE w:val="0"/>
        <w:autoSpaceDN w:val="0"/>
        <w:bidi w:val="0"/>
        <w:adjustRightInd w:val="0"/>
        <w:snapToGrid/>
        <w:spacing w:before="180"/>
        <w:textAlignment w:val="baseline"/>
      </w:pPr>
      <w:r>
        <w:rPr>
          <w:rFonts w:hint="eastAsia"/>
          <w:b/>
          <w:bCs/>
          <w:lang w:val="en-US" w:eastAsia="zh-CN"/>
        </w:rPr>
        <w:t>Proposal 3: If LBT mode is supported for per beam, it is suggested that LBT mode of per beam should be captured into Rel-17 RRC parameters list.</w:t>
      </w:r>
    </w:p>
    <w:p>
      <w:pPr>
        <w:pStyle w:val="2"/>
        <w:rPr>
          <w:szCs w:val="22"/>
          <w:lang w:eastAsia="zh-CN"/>
        </w:rPr>
      </w:pPr>
      <w:r>
        <w:rPr>
          <w:rFonts w:hint="eastAsia"/>
          <w:lang w:eastAsia="zh-CN"/>
        </w:rPr>
        <w:t>R</w:t>
      </w:r>
      <w:r>
        <w:rPr>
          <w:lang w:eastAsia="zh-CN"/>
        </w:rPr>
        <w:t>eference</w:t>
      </w:r>
    </w:p>
    <w:p>
      <w:pPr>
        <w:pStyle w:val="126"/>
        <w:rPr>
          <w:szCs w:val="22"/>
          <w:lang w:eastAsia="zh-CN"/>
        </w:rPr>
      </w:pPr>
      <w:r>
        <w:rPr>
          <w:rFonts w:hint="eastAsia"/>
          <w:sz w:val="21"/>
          <w:szCs w:val="21"/>
          <w:lang w:val="en-US" w:eastAsia="zh-CN"/>
        </w:rPr>
        <w:t>Post_RAN1#106-e_Rel-17_RRC_B52_v015, September, 2021, Moderator (Qualcomm)</w:t>
      </w:r>
    </w:p>
    <w:p>
      <w:pPr>
        <w:pStyle w:val="126"/>
        <w:rPr>
          <w:szCs w:val="22"/>
          <w:lang w:eastAsia="zh-CN"/>
        </w:rPr>
      </w:pPr>
      <w:r>
        <w:rPr>
          <w:szCs w:val="22"/>
          <w:lang w:eastAsia="zh-CN"/>
        </w:rPr>
        <w:t>R1-2108</w:t>
      </w:r>
      <w:r>
        <w:rPr>
          <w:rFonts w:hint="eastAsia"/>
          <w:szCs w:val="22"/>
          <w:lang w:val="en-US" w:eastAsia="zh-CN"/>
        </w:rPr>
        <w:t>939</w:t>
      </w:r>
      <w:r>
        <w:rPr>
          <w:rFonts w:hint="eastAsia"/>
          <w:szCs w:val="22"/>
          <w:lang w:eastAsia="zh-CN"/>
        </w:rPr>
        <w:t>,</w:t>
      </w:r>
      <w:r>
        <w:rPr>
          <w:szCs w:val="22"/>
          <w:lang w:eastAsia="zh-CN"/>
        </w:rPr>
        <w:t xml:space="preserve"> </w:t>
      </w:r>
      <w:r>
        <w:rPr>
          <w:rFonts w:hint="eastAsia" w:cs="Arial"/>
          <w:sz w:val="21"/>
          <w:szCs w:val="21"/>
          <w:lang w:val="en-US" w:eastAsia="zh-CN"/>
        </w:rPr>
        <w:t>Discussion on the channel access for 52.6 to 71GHz, ZTE</w:t>
      </w: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6" w:usb3="00000000" w:csb0="00040001"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Yu Mincho">
    <w:altName w:val="MS Gothic"/>
    <w:panose1 w:val="00000000000000000000"/>
    <w:charset w:val="0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MS PMincho">
    <w:altName w:val="Yu Gothic UI"/>
    <w:panose1 w:val="02020600040205080304"/>
    <w:charset w:val="80"/>
    <w:family w:val="roma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1</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2">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36F6D40"/>
    <w:multiLevelType w:val="multilevel"/>
    <w:tmpl w:val="336F6D40"/>
    <w:lvl w:ilvl="0" w:tentative="0">
      <w:start w:val="1"/>
      <w:numFmt w:val="bullet"/>
      <w:lvlText w:val=""/>
      <w:lvlJc w:val="left"/>
      <w:pPr>
        <w:ind w:left="360" w:hanging="360"/>
      </w:pPr>
      <w:rPr>
        <w:rFonts w:hint="default" w:ascii="Wingdings" w:hAnsi="Wingdings"/>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35566400"/>
    <w:multiLevelType w:val="multilevel"/>
    <w:tmpl w:val="3556640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6">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7"/>
  </w:num>
  <w:num w:numId="4">
    <w:abstractNumId w:val="5"/>
  </w:num>
  <w:num w:numId="5">
    <w:abstractNumId w:val="9"/>
  </w:num>
  <w:num w:numId="6">
    <w:abstractNumId w:val="6"/>
  </w:num>
  <w:num w:numId="7">
    <w:abstractNumId w:val="2"/>
  </w:num>
  <w:num w:numId="8">
    <w:abstractNumId w:val="8"/>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51"/>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474"/>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24"/>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14C"/>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1E4"/>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80"/>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288"/>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821"/>
    <w:rsid w:val="00254999"/>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D13"/>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33D"/>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6DC"/>
    <w:rsid w:val="00296758"/>
    <w:rsid w:val="0029696C"/>
    <w:rsid w:val="00296D93"/>
    <w:rsid w:val="00296FD8"/>
    <w:rsid w:val="0029743A"/>
    <w:rsid w:val="00297499"/>
    <w:rsid w:val="002974AA"/>
    <w:rsid w:val="002977A0"/>
    <w:rsid w:val="00297F46"/>
    <w:rsid w:val="002A025C"/>
    <w:rsid w:val="002A0510"/>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26"/>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144E"/>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B8C"/>
    <w:rsid w:val="00304C9E"/>
    <w:rsid w:val="0030598E"/>
    <w:rsid w:val="00305E25"/>
    <w:rsid w:val="003065FB"/>
    <w:rsid w:val="00306D3F"/>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4E1"/>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1DE"/>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1B"/>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206"/>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E87"/>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5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37F6B"/>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A09"/>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6CB"/>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700"/>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5D4"/>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0C4"/>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89"/>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C39"/>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02"/>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4D"/>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49"/>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705"/>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92A"/>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090B"/>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5FF0"/>
    <w:rsid w:val="00606930"/>
    <w:rsid w:val="00606E5E"/>
    <w:rsid w:val="006074B1"/>
    <w:rsid w:val="006077DA"/>
    <w:rsid w:val="00607ADE"/>
    <w:rsid w:val="00607E68"/>
    <w:rsid w:val="00610224"/>
    <w:rsid w:val="006102C6"/>
    <w:rsid w:val="006103F0"/>
    <w:rsid w:val="00610B78"/>
    <w:rsid w:val="006113A9"/>
    <w:rsid w:val="0061163A"/>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D43"/>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6E"/>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1D3"/>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B5A"/>
    <w:rsid w:val="006F0C12"/>
    <w:rsid w:val="006F0DB2"/>
    <w:rsid w:val="006F0E38"/>
    <w:rsid w:val="006F0EB1"/>
    <w:rsid w:val="006F1D86"/>
    <w:rsid w:val="006F1E30"/>
    <w:rsid w:val="006F20A6"/>
    <w:rsid w:val="006F20A7"/>
    <w:rsid w:val="006F25FE"/>
    <w:rsid w:val="006F291E"/>
    <w:rsid w:val="006F2C75"/>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D80"/>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131"/>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8FF"/>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0554"/>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3FDC"/>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1F61"/>
    <w:rsid w:val="007A22D6"/>
    <w:rsid w:val="007A2BFF"/>
    <w:rsid w:val="007A2D56"/>
    <w:rsid w:val="007A3226"/>
    <w:rsid w:val="007A3252"/>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9E6"/>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CC4"/>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C78"/>
    <w:rsid w:val="0083179C"/>
    <w:rsid w:val="008320DD"/>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01D"/>
    <w:rsid w:val="00836133"/>
    <w:rsid w:val="0083657B"/>
    <w:rsid w:val="00836B5B"/>
    <w:rsid w:val="00836C1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67A39"/>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6FB9"/>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5F2"/>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6"/>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6CBD"/>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AD2"/>
    <w:rsid w:val="00907BEE"/>
    <w:rsid w:val="009103D6"/>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2C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282D"/>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32C"/>
    <w:rsid w:val="009C3D88"/>
    <w:rsid w:val="009C42A3"/>
    <w:rsid w:val="009C4B76"/>
    <w:rsid w:val="009C509F"/>
    <w:rsid w:val="009C520B"/>
    <w:rsid w:val="009C5785"/>
    <w:rsid w:val="009C5874"/>
    <w:rsid w:val="009C6331"/>
    <w:rsid w:val="009C6768"/>
    <w:rsid w:val="009C6894"/>
    <w:rsid w:val="009C6B3B"/>
    <w:rsid w:val="009C6B7B"/>
    <w:rsid w:val="009C6C78"/>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8C1"/>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A08"/>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0A1"/>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AE7"/>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5A6"/>
    <w:rsid w:val="00AB1705"/>
    <w:rsid w:val="00AB1A33"/>
    <w:rsid w:val="00AB2857"/>
    <w:rsid w:val="00AB2C9D"/>
    <w:rsid w:val="00AB2EB7"/>
    <w:rsid w:val="00AB3299"/>
    <w:rsid w:val="00AB3418"/>
    <w:rsid w:val="00AB3491"/>
    <w:rsid w:val="00AB3865"/>
    <w:rsid w:val="00AB3BE9"/>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2C59"/>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15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16E"/>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6B5"/>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6D6D"/>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945"/>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3C3"/>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D84"/>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1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4BE9"/>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D5B"/>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8B"/>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AFD"/>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6F60"/>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056"/>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8ED"/>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578"/>
    <w:rsid w:val="00E10631"/>
    <w:rsid w:val="00E10DA9"/>
    <w:rsid w:val="00E115C5"/>
    <w:rsid w:val="00E11EB8"/>
    <w:rsid w:val="00E1273A"/>
    <w:rsid w:val="00E12933"/>
    <w:rsid w:val="00E12A5A"/>
    <w:rsid w:val="00E12AF0"/>
    <w:rsid w:val="00E132B8"/>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295"/>
    <w:rsid w:val="00E26654"/>
    <w:rsid w:val="00E2690E"/>
    <w:rsid w:val="00E26DD2"/>
    <w:rsid w:val="00E272FE"/>
    <w:rsid w:val="00E30063"/>
    <w:rsid w:val="00E30517"/>
    <w:rsid w:val="00E3070A"/>
    <w:rsid w:val="00E30A72"/>
    <w:rsid w:val="00E30AD6"/>
    <w:rsid w:val="00E30DB2"/>
    <w:rsid w:val="00E30F83"/>
    <w:rsid w:val="00E31501"/>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996"/>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0E96"/>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2C1"/>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37F"/>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0E8F"/>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45"/>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905"/>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404"/>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0D"/>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236"/>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67E"/>
    <w:rsid w:val="00FE47B0"/>
    <w:rsid w:val="00FE5172"/>
    <w:rsid w:val="00FE5236"/>
    <w:rsid w:val="00FE53E8"/>
    <w:rsid w:val="00FE5977"/>
    <w:rsid w:val="00FE5C99"/>
    <w:rsid w:val="00FE5CB2"/>
    <w:rsid w:val="00FE65DB"/>
    <w:rsid w:val="00FE6678"/>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67D4C1C"/>
    <w:rsid w:val="06B127E5"/>
    <w:rsid w:val="072F2729"/>
    <w:rsid w:val="07C21FA9"/>
    <w:rsid w:val="0957797D"/>
    <w:rsid w:val="0972706B"/>
    <w:rsid w:val="09C21BB6"/>
    <w:rsid w:val="0A083A56"/>
    <w:rsid w:val="0A867EAB"/>
    <w:rsid w:val="0AFC60B7"/>
    <w:rsid w:val="0B60783C"/>
    <w:rsid w:val="0BAD7041"/>
    <w:rsid w:val="0C6F5654"/>
    <w:rsid w:val="0D132BA9"/>
    <w:rsid w:val="0D660AC2"/>
    <w:rsid w:val="0D672BF6"/>
    <w:rsid w:val="0DC65F08"/>
    <w:rsid w:val="0E120AD5"/>
    <w:rsid w:val="0EB06FFE"/>
    <w:rsid w:val="0F0A5032"/>
    <w:rsid w:val="0F5F1CF6"/>
    <w:rsid w:val="100237F2"/>
    <w:rsid w:val="10150A41"/>
    <w:rsid w:val="1257267A"/>
    <w:rsid w:val="12A472D8"/>
    <w:rsid w:val="12FE321B"/>
    <w:rsid w:val="130859B8"/>
    <w:rsid w:val="141F2191"/>
    <w:rsid w:val="149B0A4A"/>
    <w:rsid w:val="1575AEB2"/>
    <w:rsid w:val="164502E7"/>
    <w:rsid w:val="164F7F6D"/>
    <w:rsid w:val="16560B96"/>
    <w:rsid w:val="165E068A"/>
    <w:rsid w:val="1702D3F2"/>
    <w:rsid w:val="1737484D"/>
    <w:rsid w:val="1808262A"/>
    <w:rsid w:val="188D2058"/>
    <w:rsid w:val="18BA7603"/>
    <w:rsid w:val="18FD3F86"/>
    <w:rsid w:val="192B740B"/>
    <w:rsid w:val="19497C62"/>
    <w:rsid w:val="1A514204"/>
    <w:rsid w:val="1B2E6DC7"/>
    <w:rsid w:val="1B5316CE"/>
    <w:rsid w:val="1B5E59D2"/>
    <w:rsid w:val="1BD727D1"/>
    <w:rsid w:val="1C766428"/>
    <w:rsid w:val="1C852386"/>
    <w:rsid w:val="1D4C3103"/>
    <w:rsid w:val="1DA64477"/>
    <w:rsid w:val="1DD50930"/>
    <w:rsid w:val="1DF407BB"/>
    <w:rsid w:val="1E38003B"/>
    <w:rsid w:val="1F850095"/>
    <w:rsid w:val="1FB91CD0"/>
    <w:rsid w:val="20910CB1"/>
    <w:rsid w:val="20CD42FE"/>
    <w:rsid w:val="21035A99"/>
    <w:rsid w:val="21282288"/>
    <w:rsid w:val="23495570"/>
    <w:rsid w:val="23680C07"/>
    <w:rsid w:val="239E142D"/>
    <w:rsid w:val="23FF39A7"/>
    <w:rsid w:val="245870DE"/>
    <w:rsid w:val="247247A7"/>
    <w:rsid w:val="2473146A"/>
    <w:rsid w:val="24AE7588"/>
    <w:rsid w:val="24F579B3"/>
    <w:rsid w:val="27C5366D"/>
    <w:rsid w:val="27DD67CA"/>
    <w:rsid w:val="28501A9D"/>
    <w:rsid w:val="28690808"/>
    <w:rsid w:val="28B07E55"/>
    <w:rsid w:val="28B54AA2"/>
    <w:rsid w:val="294D6347"/>
    <w:rsid w:val="2A0F0B23"/>
    <w:rsid w:val="2AFE2B7E"/>
    <w:rsid w:val="2D2E6773"/>
    <w:rsid w:val="2D376513"/>
    <w:rsid w:val="2DC863F1"/>
    <w:rsid w:val="2DDD0B2B"/>
    <w:rsid w:val="2EB72406"/>
    <w:rsid w:val="2EC86A67"/>
    <w:rsid w:val="2F2367DE"/>
    <w:rsid w:val="30877CBB"/>
    <w:rsid w:val="31542D3B"/>
    <w:rsid w:val="3258663A"/>
    <w:rsid w:val="32832752"/>
    <w:rsid w:val="32FE23BF"/>
    <w:rsid w:val="330E6893"/>
    <w:rsid w:val="33872539"/>
    <w:rsid w:val="33DE0CB9"/>
    <w:rsid w:val="34C97C8C"/>
    <w:rsid w:val="3511129D"/>
    <w:rsid w:val="359455FE"/>
    <w:rsid w:val="35C274F0"/>
    <w:rsid w:val="36CD07B0"/>
    <w:rsid w:val="36CE57C7"/>
    <w:rsid w:val="375C57D7"/>
    <w:rsid w:val="37DD651E"/>
    <w:rsid w:val="38BA113F"/>
    <w:rsid w:val="3A135075"/>
    <w:rsid w:val="3A8424B5"/>
    <w:rsid w:val="3AB31D0C"/>
    <w:rsid w:val="3B4A3B53"/>
    <w:rsid w:val="3B605DD7"/>
    <w:rsid w:val="3BF47021"/>
    <w:rsid w:val="3C923082"/>
    <w:rsid w:val="3D0354C7"/>
    <w:rsid w:val="3D7642C9"/>
    <w:rsid w:val="3DA3379C"/>
    <w:rsid w:val="3DDA6D42"/>
    <w:rsid w:val="3E7347F4"/>
    <w:rsid w:val="3EDA5210"/>
    <w:rsid w:val="3EF83C43"/>
    <w:rsid w:val="3F01664D"/>
    <w:rsid w:val="3F175FC8"/>
    <w:rsid w:val="3FD010A5"/>
    <w:rsid w:val="3FEE593C"/>
    <w:rsid w:val="40850DCD"/>
    <w:rsid w:val="41AC1D9C"/>
    <w:rsid w:val="4242619A"/>
    <w:rsid w:val="42B20782"/>
    <w:rsid w:val="44917C93"/>
    <w:rsid w:val="46D41E44"/>
    <w:rsid w:val="47AE2F53"/>
    <w:rsid w:val="49446ABC"/>
    <w:rsid w:val="496938E0"/>
    <w:rsid w:val="49882B35"/>
    <w:rsid w:val="4B3872E6"/>
    <w:rsid w:val="4CA149AE"/>
    <w:rsid w:val="4DF51404"/>
    <w:rsid w:val="4E5633F4"/>
    <w:rsid w:val="4E7740D9"/>
    <w:rsid w:val="4EAC0AFF"/>
    <w:rsid w:val="4EC2021D"/>
    <w:rsid w:val="4FE8430B"/>
    <w:rsid w:val="50FD13B2"/>
    <w:rsid w:val="52AE3CC1"/>
    <w:rsid w:val="52FE30BB"/>
    <w:rsid w:val="536E79E7"/>
    <w:rsid w:val="54CE2507"/>
    <w:rsid w:val="55181CD2"/>
    <w:rsid w:val="55D01D97"/>
    <w:rsid w:val="57244B18"/>
    <w:rsid w:val="573000DE"/>
    <w:rsid w:val="57EF6871"/>
    <w:rsid w:val="58240039"/>
    <w:rsid w:val="595A121E"/>
    <w:rsid w:val="59C75644"/>
    <w:rsid w:val="5A5440E8"/>
    <w:rsid w:val="5AF07FF7"/>
    <w:rsid w:val="5AF422E5"/>
    <w:rsid w:val="5BF26431"/>
    <w:rsid w:val="5D20789A"/>
    <w:rsid w:val="5E780DEA"/>
    <w:rsid w:val="5F631FA8"/>
    <w:rsid w:val="5F67370F"/>
    <w:rsid w:val="60746EA7"/>
    <w:rsid w:val="6272364B"/>
    <w:rsid w:val="63FB6D0A"/>
    <w:rsid w:val="65507243"/>
    <w:rsid w:val="655158B1"/>
    <w:rsid w:val="65576B9C"/>
    <w:rsid w:val="656027FF"/>
    <w:rsid w:val="66205D21"/>
    <w:rsid w:val="66457E51"/>
    <w:rsid w:val="6680376E"/>
    <w:rsid w:val="66ED31EA"/>
    <w:rsid w:val="67926798"/>
    <w:rsid w:val="67BF0A93"/>
    <w:rsid w:val="691A3243"/>
    <w:rsid w:val="69471D97"/>
    <w:rsid w:val="696C42BB"/>
    <w:rsid w:val="698A6B0F"/>
    <w:rsid w:val="6A3B79E0"/>
    <w:rsid w:val="6A6D5D80"/>
    <w:rsid w:val="6A782EAA"/>
    <w:rsid w:val="6B5C2DD4"/>
    <w:rsid w:val="6B704279"/>
    <w:rsid w:val="6D020EA1"/>
    <w:rsid w:val="6D197ACB"/>
    <w:rsid w:val="6E0F1211"/>
    <w:rsid w:val="6E5B2456"/>
    <w:rsid w:val="6E770DAD"/>
    <w:rsid w:val="6FBD0858"/>
    <w:rsid w:val="70036662"/>
    <w:rsid w:val="70E23CB9"/>
    <w:rsid w:val="72E1752D"/>
    <w:rsid w:val="732B1618"/>
    <w:rsid w:val="73A015C2"/>
    <w:rsid w:val="73A913CF"/>
    <w:rsid w:val="73EB1497"/>
    <w:rsid w:val="74000A47"/>
    <w:rsid w:val="74885606"/>
    <w:rsid w:val="751115BE"/>
    <w:rsid w:val="75740E00"/>
    <w:rsid w:val="763A080C"/>
    <w:rsid w:val="76EB5B39"/>
    <w:rsid w:val="776F4F23"/>
    <w:rsid w:val="78156E78"/>
    <w:rsid w:val="782D5EAF"/>
    <w:rsid w:val="786302A1"/>
    <w:rsid w:val="789F1175"/>
    <w:rsid w:val="7931734A"/>
    <w:rsid w:val="7AAB1AAC"/>
    <w:rsid w:val="7ADB38D4"/>
    <w:rsid w:val="7DC65730"/>
    <w:rsid w:val="7DD2691C"/>
    <w:rsid w:val="7E3563A1"/>
    <w:rsid w:val="7E9326F9"/>
    <w:rsid w:val="7EAD671B"/>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99"/>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link w:val="16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99"/>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link w:val="160"/>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sz w:val="36"/>
      <w:lang w:val="en-GB" w:eastAsia="en-US"/>
    </w:rPr>
  </w:style>
  <w:style w:type="character" w:customStyle="1" w:styleId="105">
    <w:name w:val="标题 2 Char"/>
    <w:link w:val="3"/>
    <w:qFormat/>
    <w:uiPriority w:val="0"/>
    <w:rPr>
      <w:rFonts w:ascii="Arial" w:hAnsi="Arial" w:eastAsia="宋体" w:cs="Times New Roman"/>
      <w:sz w:val="32"/>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List Paragraph1"/>
    <w:basedOn w:val="1"/>
    <w:qFormat/>
    <w:uiPriority w:val="99"/>
    <w:pPr>
      <w:overflowPunct/>
      <w:autoSpaceDE/>
      <w:autoSpaceDN/>
      <w:adjustRightInd/>
      <w:spacing w:after="120"/>
      <w:ind w:left="720" w:hanging="360"/>
      <w:textAlignment w:val="auto"/>
    </w:pPr>
    <w:rPr>
      <w:rFonts w:eastAsia="Calibri"/>
      <w:szCs w:val="22"/>
      <w:lang w:val="en-GB"/>
    </w:rPr>
  </w:style>
  <w:style w:type="paragraph" w:customStyle="1" w:styleId="159">
    <w:name w:val="正文3"/>
    <w:qFormat/>
    <w:uiPriority w:val="0"/>
    <w:pPr>
      <w:widowControl w:val="0"/>
      <w:jc w:val="both"/>
    </w:pPr>
    <w:rPr>
      <w:rFonts w:ascii="Times New Roman" w:hAnsi="Times New Roman" w:eastAsia="宋体" w:cs="Times New Roman"/>
      <w:kern w:val="2"/>
      <w:sz w:val="21"/>
      <w:szCs w:val="21"/>
      <w:lang w:val="en-US" w:eastAsia="zh-CN" w:bidi="ar-SA"/>
    </w:rPr>
  </w:style>
  <w:style w:type="character" w:customStyle="1" w:styleId="160">
    <w:name w:val="TAH Car"/>
    <w:link w:val="63"/>
    <w:qFormat/>
    <w:uiPriority w:val="0"/>
    <w:rPr>
      <w:rFonts w:ascii="Arial" w:hAnsi="Arial" w:eastAsia="宋体" w:cs="Times New Roman"/>
      <w:b/>
      <w:sz w:val="18"/>
      <w:lang w:eastAsia="en-US"/>
    </w:rPr>
  </w:style>
  <w:style w:type="character" w:customStyle="1" w:styleId="161">
    <w:name w:val="正文文本缩进 Char"/>
    <w:basedOn w:val="52"/>
    <w:link w:val="33"/>
    <w:qFormat/>
    <w:uiPriority w:val="0"/>
    <w:rPr>
      <w:rFonts w:ascii="Times New Roman" w:hAnsi="Times New Roman" w:eastAsia="楷体_GB2312" w:cs="Times New Roman"/>
      <w:sz w:val="24"/>
      <w:lang w:eastAsia="en-US"/>
    </w:rPr>
  </w:style>
  <w:style w:type="paragraph" w:customStyle="1" w:styleId="162">
    <w:name w:val="_Style 1"/>
    <w:basedOn w:val="1"/>
    <w:qFormat/>
    <w:uiPriority w:val="34"/>
    <w:pPr>
      <w:ind w:left="840" w:leftChars="4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A6D09A-0C4F-45BD-8908-F4E0083FDD33}">
  <ds:schemaRefs/>
</ds:datastoreItem>
</file>

<file path=customXml/itemProps3.xml><?xml version="1.0" encoding="utf-8"?>
<ds:datastoreItem xmlns:ds="http://schemas.openxmlformats.org/officeDocument/2006/customXml" ds:itemID="{DE437376-A7B6-47B7-A9FE-9D6C62534131}">
  <ds:schemaRefs/>
</ds:datastoreItem>
</file>

<file path=customXml/itemProps4.xml><?xml version="1.0" encoding="utf-8"?>
<ds:datastoreItem xmlns:ds="http://schemas.openxmlformats.org/officeDocument/2006/customXml" ds:itemID="{04BF5348-08CE-46A2-B6C7-D667930F0DC1}">
  <ds:schemaRefs/>
</ds:datastoreItem>
</file>

<file path=customXml/itemProps5.xml><?xml version="1.0" encoding="utf-8"?>
<ds:datastoreItem xmlns:ds="http://schemas.openxmlformats.org/officeDocument/2006/customXml" ds:itemID="{4F156B33-FE54-4BF7-8206-606715473FFD}">
  <ds:schemaRefs/>
</ds:datastoreItem>
</file>

<file path=customXml/itemProps6.xml><?xml version="1.0" encoding="utf-8"?>
<ds:datastoreItem xmlns:ds="http://schemas.openxmlformats.org/officeDocument/2006/customXml" ds:itemID="{9C2FF60E-EDDE-47F2-966E-A40547D413B7}">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4</Pages>
  <Words>1291</Words>
  <Characters>7363</Characters>
  <Lines>61</Lines>
  <Paragraphs>17</Paragraphs>
  <TotalTime>7</TotalTime>
  <ScaleCrop>false</ScaleCrop>
  <LinksUpToDate>false</LinksUpToDate>
  <CharactersWithSpaces>8637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2021-09-29T01:36:00Z</dcterms:created>
  <dc:creator>ZTE Corporation</dc:creator>
  <cp:lastModifiedBy>ZTE-Yang Ling</cp:lastModifiedBy>
  <cp:lastPrinted>2018-04-07T03:05:00Z</cp:lastPrinted>
  <dcterms:modified xsi:type="dcterms:W3CDTF">2021-10-01T14:11:06Z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